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DD104" w14:textId="457959F1" w:rsidR="4CB94DC5" w:rsidRDefault="0A41472E" w:rsidP="00057206">
      <w:pPr>
        <w:pStyle w:val="Titre"/>
        <w:rPr>
          <w:color w:val="0F4761" w:themeColor="accent1" w:themeShade="BF"/>
        </w:rPr>
      </w:pPr>
      <w:r w:rsidRPr="0FF8C3A4">
        <w:rPr>
          <w:color w:val="0F4761" w:themeColor="accent1" w:themeShade="BF"/>
        </w:rPr>
        <w:t xml:space="preserve">Rapport de mise en place et d’évaluation </w:t>
      </w:r>
      <w:r w:rsidR="098EB81A" w:rsidRPr="0FF8C3A4">
        <w:rPr>
          <w:color w:val="0F4761" w:themeColor="accent1" w:themeShade="BF"/>
        </w:rPr>
        <w:t>d’une solution (</w:t>
      </w:r>
      <w:r w:rsidR="35442561" w:rsidRPr="0FF8C3A4">
        <w:rPr>
          <w:color w:val="0F4761" w:themeColor="accent1" w:themeShade="BF"/>
        </w:rPr>
        <w:t>Optimisation de la fertilité des sols)</w:t>
      </w:r>
    </w:p>
    <w:p w14:paraId="4E3A81B5" w14:textId="77777777" w:rsidR="00057206" w:rsidRPr="00057206" w:rsidRDefault="00057206" w:rsidP="00057206"/>
    <w:sdt>
      <w:sdtPr>
        <w:id w:val="416006120"/>
        <w:docPartObj>
          <w:docPartGallery w:val="Table of Contents"/>
          <w:docPartUnique/>
        </w:docPartObj>
      </w:sdtPr>
      <w:sdtContent>
        <w:p w14:paraId="77553EA7" w14:textId="68131DAA" w:rsidR="00964518" w:rsidRDefault="0FF8C3A4" w:rsidP="3BFF6491">
          <w:pPr>
            <w:pStyle w:val="TM1"/>
            <w:tabs>
              <w:tab w:val="right" w:leader="dot" w:pos="9015"/>
            </w:tabs>
            <w:rPr>
              <w:rStyle w:val="Lienhypertexte"/>
              <w:noProof/>
              <w:kern w:val="2"/>
              <w:lang w:val="fr-BE" w:eastAsia="fr-BE"/>
              <w14:ligatures w14:val="standardContextual"/>
            </w:rPr>
          </w:pPr>
          <w:r>
            <w:fldChar w:fldCharType="begin"/>
          </w:r>
          <w:r w:rsidR="1BDD9486">
            <w:instrText>TOC \o "1-2" \z \u \h</w:instrText>
          </w:r>
          <w:r>
            <w:fldChar w:fldCharType="separate"/>
          </w:r>
          <w:hyperlink w:anchor="_Toc1800948460">
            <w:r w:rsidR="3BFF6491" w:rsidRPr="3BFF6491">
              <w:rPr>
                <w:rStyle w:val="Lienhypertexte"/>
              </w:rPr>
              <w:t>Objectifs de l’utilisation du smart farming (WP2)</w:t>
            </w:r>
            <w:r w:rsidR="1BDD9486">
              <w:tab/>
            </w:r>
            <w:r w:rsidR="1BDD9486">
              <w:fldChar w:fldCharType="begin"/>
            </w:r>
            <w:r w:rsidR="1BDD9486">
              <w:instrText>PAGEREF _Toc1800948460 \h</w:instrText>
            </w:r>
            <w:r w:rsidR="1BDD9486">
              <w:fldChar w:fldCharType="separate"/>
            </w:r>
            <w:r w:rsidR="3BFF6491" w:rsidRPr="3BFF6491">
              <w:rPr>
                <w:rStyle w:val="Lienhypertexte"/>
              </w:rPr>
              <w:t>1</w:t>
            </w:r>
            <w:r w:rsidR="1BDD9486">
              <w:fldChar w:fldCharType="end"/>
            </w:r>
          </w:hyperlink>
        </w:p>
        <w:p w14:paraId="1C517C63" w14:textId="08949262" w:rsidR="00964518" w:rsidRDefault="3BFF6491" w:rsidP="3BFF6491">
          <w:pPr>
            <w:pStyle w:val="TM2"/>
            <w:tabs>
              <w:tab w:val="right" w:leader="dot" w:pos="9015"/>
            </w:tabs>
            <w:rPr>
              <w:rStyle w:val="Lienhypertexte"/>
              <w:noProof/>
              <w:kern w:val="2"/>
              <w:lang w:val="fr-BE" w:eastAsia="fr-BE"/>
              <w14:ligatures w14:val="standardContextual"/>
            </w:rPr>
          </w:pPr>
          <w:hyperlink w:anchor="_Toc56459063">
            <w:r w:rsidRPr="3BFF6491">
              <w:rPr>
                <w:rStyle w:val="Lienhypertexte"/>
              </w:rPr>
              <w:t>Priorités agronomiques</w:t>
            </w:r>
            <w:r w:rsidR="1BDD9486">
              <w:tab/>
            </w:r>
            <w:r w:rsidR="1BDD9486">
              <w:fldChar w:fldCharType="begin"/>
            </w:r>
            <w:r w:rsidR="1BDD9486">
              <w:instrText>PAGEREF _Toc56459063 \h</w:instrText>
            </w:r>
            <w:r w:rsidR="1BDD9486">
              <w:fldChar w:fldCharType="separate"/>
            </w:r>
            <w:r w:rsidRPr="3BFF6491">
              <w:rPr>
                <w:rStyle w:val="Lienhypertexte"/>
              </w:rPr>
              <w:t>1</w:t>
            </w:r>
            <w:r w:rsidR="1BDD9486">
              <w:fldChar w:fldCharType="end"/>
            </w:r>
          </w:hyperlink>
        </w:p>
        <w:p w14:paraId="7D1DB535" w14:textId="1BC5FFA4" w:rsidR="00964518" w:rsidRDefault="3BFF6491" w:rsidP="3BFF6491">
          <w:pPr>
            <w:pStyle w:val="TM2"/>
            <w:tabs>
              <w:tab w:val="right" w:leader="dot" w:pos="9015"/>
            </w:tabs>
            <w:rPr>
              <w:rStyle w:val="Lienhypertexte"/>
              <w:noProof/>
              <w:kern w:val="2"/>
              <w:lang w:val="fr-BE" w:eastAsia="fr-BE"/>
              <w14:ligatures w14:val="standardContextual"/>
            </w:rPr>
          </w:pPr>
          <w:hyperlink w:anchor="_Toc1940334906">
            <w:r w:rsidRPr="3BFF6491">
              <w:rPr>
                <w:rStyle w:val="Lienhypertexte"/>
              </w:rPr>
              <w:t>Applications à doses variables</w:t>
            </w:r>
            <w:r w:rsidR="1BDD9486">
              <w:tab/>
            </w:r>
            <w:r w:rsidR="1BDD9486">
              <w:fldChar w:fldCharType="begin"/>
            </w:r>
            <w:r w:rsidR="1BDD9486">
              <w:instrText>PAGEREF _Toc1940334906 \h</w:instrText>
            </w:r>
            <w:r w:rsidR="1BDD9486">
              <w:fldChar w:fldCharType="separate"/>
            </w:r>
            <w:r w:rsidRPr="3BFF6491">
              <w:rPr>
                <w:rStyle w:val="Lienhypertexte"/>
              </w:rPr>
              <w:t>1</w:t>
            </w:r>
            <w:r w:rsidR="1BDD9486">
              <w:fldChar w:fldCharType="end"/>
            </w:r>
          </w:hyperlink>
        </w:p>
        <w:p w14:paraId="77BDAAE3" w14:textId="0D590A4F" w:rsidR="00964518" w:rsidRDefault="3BFF6491" w:rsidP="3BFF6491">
          <w:pPr>
            <w:pStyle w:val="TM2"/>
            <w:tabs>
              <w:tab w:val="right" w:leader="dot" w:pos="9015"/>
            </w:tabs>
            <w:rPr>
              <w:rStyle w:val="Lienhypertexte"/>
              <w:noProof/>
              <w:kern w:val="2"/>
              <w:lang w:val="fr-BE" w:eastAsia="fr-BE"/>
              <w14:ligatures w14:val="standardContextual"/>
            </w:rPr>
          </w:pPr>
          <w:hyperlink w:anchor="_Toc74203152">
            <w:r w:rsidRPr="3BFF6491">
              <w:rPr>
                <w:rStyle w:val="Lienhypertexte"/>
              </w:rPr>
              <w:t>Description des solutions</w:t>
            </w:r>
            <w:r w:rsidR="1BDD9486">
              <w:tab/>
            </w:r>
            <w:r w:rsidR="1BDD9486">
              <w:fldChar w:fldCharType="begin"/>
            </w:r>
            <w:r w:rsidR="1BDD9486">
              <w:instrText>PAGEREF _Toc74203152 \h</w:instrText>
            </w:r>
            <w:r w:rsidR="1BDD9486">
              <w:fldChar w:fldCharType="separate"/>
            </w:r>
            <w:r w:rsidRPr="3BFF6491">
              <w:rPr>
                <w:rStyle w:val="Lienhypertexte"/>
              </w:rPr>
              <w:t>2</w:t>
            </w:r>
            <w:r w:rsidR="1BDD9486">
              <w:fldChar w:fldCharType="end"/>
            </w:r>
          </w:hyperlink>
        </w:p>
        <w:p w14:paraId="4251B163" w14:textId="2591FC8C" w:rsidR="00964518" w:rsidRDefault="3BFF6491" w:rsidP="3BFF6491">
          <w:pPr>
            <w:pStyle w:val="TM1"/>
            <w:tabs>
              <w:tab w:val="right" w:leader="dot" w:pos="9015"/>
            </w:tabs>
            <w:rPr>
              <w:rStyle w:val="Lienhypertexte"/>
              <w:noProof/>
              <w:kern w:val="2"/>
              <w:lang w:val="fr-BE" w:eastAsia="fr-BE"/>
              <w14:ligatures w14:val="standardContextual"/>
            </w:rPr>
          </w:pPr>
          <w:hyperlink w:anchor="_Toc505737199">
            <w:r w:rsidRPr="3BFF6491">
              <w:rPr>
                <w:rStyle w:val="Lienhypertexte"/>
              </w:rPr>
              <w:t>Mise en place du Smart-Farming (WP4)</w:t>
            </w:r>
            <w:r w:rsidR="1BDD9486">
              <w:tab/>
            </w:r>
            <w:r w:rsidR="1BDD9486">
              <w:fldChar w:fldCharType="begin"/>
            </w:r>
            <w:r w:rsidR="1BDD9486">
              <w:instrText>PAGEREF _Toc505737199 \h</w:instrText>
            </w:r>
            <w:r w:rsidR="1BDD9486">
              <w:fldChar w:fldCharType="separate"/>
            </w:r>
            <w:r w:rsidRPr="3BFF6491">
              <w:rPr>
                <w:rStyle w:val="Lienhypertexte"/>
              </w:rPr>
              <w:t>4</w:t>
            </w:r>
            <w:r w:rsidR="1BDD9486">
              <w:fldChar w:fldCharType="end"/>
            </w:r>
          </w:hyperlink>
        </w:p>
        <w:p w14:paraId="5D94049D" w14:textId="333429D6" w:rsidR="1BDD9486" w:rsidRDefault="3BFF6491" w:rsidP="0FF8C3A4">
          <w:pPr>
            <w:pStyle w:val="TM2"/>
            <w:tabs>
              <w:tab w:val="right" w:leader="dot" w:pos="9015"/>
            </w:tabs>
            <w:rPr>
              <w:rStyle w:val="Lienhypertexte"/>
            </w:rPr>
          </w:pPr>
          <w:hyperlink w:anchor="_Toc1918166769">
            <w:r w:rsidRPr="3BFF6491">
              <w:rPr>
                <w:rStyle w:val="Lienhypertexte"/>
              </w:rPr>
              <w:t>Calendrier des mesures</w:t>
            </w:r>
            <w:r w:rsidR="1BDD9486">
              <w:tab/>
            </w:r>
            <w:r w:rsidR="1BDD9486">
              <w:fldChar w:fldCharType="begin"/>
            </w:r>
            <w:r w:rsidR="1BDD9486">
              <w:instrText>PAGEREF _Toc1918166769 \h</w:instrText>
            </w:r>
            <w:r w:rsidR="1BDD9486">
              <w:fldChar w:fldCharType="separate"/>
            </w:r>
            <w:r w:rsidRPr="3BFF6491">
              <w:rPr>
                <w:rStyle w:val="Lienhypertexte"/>
              </w:rPr>
              <w:t>4</w:t>
            </w:r>
            <w:r w:rsidR="1BDD9486">
              <w:fldChar w:fldCharType="end"/>
            </w:r>
          </w:hyperlink>
        </w:p>
        <w:p w14:paraId="222C508B" w14:textId="0A375696" w:rsidR="1BDD9486" w:rsidRDefault="3BFF6491" w:rsidP="1BDD9486">
          <w:pPr>
            <w:pStyle w:val="TM2"/>
            <w:tabs>
              <w:tab w:val="right" w:leader="dot" w:pos="9015"/>
            </w:tabs>
            <w:rPr>
              <w:rStyle w:val="Lienhypertexte"/>
            </w:rPr>
          </w:pPr>
          <w:hyperlink w:anchor="_Toc1475757660">
            <w:r w:rsidRPr="3BFF6491">
              <w:rPr>
                <w:rStyle w:val="Lienhypertexte"/>
              </w:rPr>
              <w:t>Sujet 1 : Carbone organique et taux d’argile</w:t>
            </w:r>
            <w:r w:rsidR="1BDD9486">
              <w:tab/>
            </w:r>
            <w:r w:rsidR="1BDD9486">
              <w:fldChar w:fldCharType="begin"/>
            </w:r>
            <w:r w:rsidR="1BDD9486">
              <w:instrText>PAGEREF _Toc1475757660 \h</w:instrText>
            </w:r>
            <w:r w:rsidR="1BDD9486">
              <w:fldChar w:fldCharType="separate"/>
            </w:r>
            <w:r w:rsidRPr="3BFF6491">
              <w:rPr>
                <w:rStyle w:val="Lienhypertexte"/>
              </w:rPr>
              <w:t>5</w:t>
            </w:r>
            <w:r w:rsidR="1BDD9486">
              <w:fldChar w:fldCharType="end"/>
            </w:r>
          </w:hyperlink>
        </w:p>
        <w:p w14:paraId="14E5875C" w14:textId="642E71A7" w:rsidR="1BDD9486" w:rsidRDefault="3BFF6491" w:rsidP="1BDD9486">
          <w:pPr>
            <w:pStyle w:val="TM2"/>
            <w:tabs>
              <w:tab w:val="right" w:leader="dot" w:pos="9015"/>
            </w:tabs>
            <w:rPr>
              <w:rStyle w:val="Lienhypertexte"/>
            </w:rPr>
          </w:pPr>
          <w:hyperlink w:anchor="_Toc267213772">
            <w:r w:rsidRPr="3BFF6491">
              <w:rPr>
                <w:rStyle w:val="Lienhypertexte"/>
              </w:rPr>
              <w:t>Sujet 2 : pH</w:t>
            </w:r>
            <w:r w:rsidR="1BDD9486">
              <w:tab/>
            </w:r>
            <w:r w:rsidR="1BDD9486">
              <w:fldChar w:fldCharType="begin"/>
            </w:r>
            <w:r w:rsidR="1BDD9486">
              <w:instrText>PAGEREF _Toc267213772 \h</w:instrText>
            </w:r>
            <w:r w:rsidR="1BDD9486">
              <w:fldChar w:fldCharType="separate"/>
            </w:r>
            <w:r w:rsidRPr="3BFF6491">
              <w:rPr>
                <w:rStyle w:val="Lienhypertexte"/>
              </w:rPr>
              <w:t>10</w:t>
            </w:r>
            <w:r w:rsidR="1BDD9486">
              <w:fldChar w:fldCharType="end"/>
            </w:r>
          </w:hyperlink>
        </w:p>
        <w:p w14:paraId="6C92D8BF" w14:textId="67D44455" w:rsidR="1BDD9486" w:rsidRDefault="3BFF6491" w:rsidP="0FF8C3A4">
          <w:pPr>
            <w:pStyle w:val="TM1"/>
            <w:tabs>
              <w:tab w:val="right" w:leader="dot" w:pos="9015"/>
            </w:tabs>
            <w:rPr>
              <w:rStyle w:val="Lienhypertexte"/>
            </w:rPr>
          </w:pPr>
          <w:hyperlink w:anchor="_Toc1007590904">
            <w:r w:rsidRPr="3BFF6491">
              <w:rPr>
                <w:rStyle w:val="Lienhypertexte"/>
              </w:rPr>
              <w:t>Évaluation technique (WP5)</w:t>
            </w:r>
            <w:r w:rsidR="1BDD9486">
              <w:tab/>
            </w:r>
            <w:r w:rsidR="1BDD9486">
              <w:fldChar w:fldCharType="begin"/>
            </w:r>
            <w:r w:rsidR="1BDD9486">
              <w:instrText>PAGEREF _Toc1007590904 \h</w:instrText>
            </w:r>
            <w:r w:rsidR="1BDD9486">
              <w:fldChar w:fldCharType="separate"/>
            </w:r>
            <w:r w:rsidRPr="3BFF6491">
              <w:rPr>
                <w:rStyle w:val="Lienhypertexte"/>
              </w:rPr>
              <w:t>15</w:t>
            </w:r>
            <w:r w:rsidR="1BDD9486">
              <w:fldChar w:fldCharType="end"/>
            </w:r>
          </w:hyperlink>
        </w:p>
        <w:p w14:paraId="577DD74E" w14:textId="4046DDF2" w:rsidR="1BDD9486" w:rsidRDefault="3BFF6491" w:rsidP="0FF8C3A4">
          <w:pPr>
            <w:pStyle w:val="TM2"/>
            <w:tabs>
              <w:tab w:val="right" w:leader="dot" w:pos="9015"/>
            </w:tabs>
            <w:rPr>
              <w:rStyle w:val="Lienhypertexte"/>
            </w:rPr>
          </w:pPr>
          <w:hyperlink w:anchor="_Toc1091784427">
            <w:r w:rsidRPr="3BFF6491">
              <w:rPr>
                <w:rStyle w:val="Lienhypertexte"/>
              </w:rPr>
              <w:t>Matériel et méthodes</w:t>
            </w:r>
            <w:r w:rsidR="1BDD9486">
              <w:tab/>
            </w:r>
            <w:r w:rsidR="1BDD9486">
              <w:fldChar w:fldCharType="begin"/>
            </w:r>
            <w:r w:rsidR="1BDD9486">
              <w:instrText>PAGEREF _Toc1091784427 \h</w:instrText>
            </w:r>
            <w:r w:rsidR="1BDD9486">
              <w:fldChar w:fldCharType="separate"/>
            </w:r>
            <w:r w:rsidRPr="3BFF6491">
              <w:rPr>
                <w:rStyle w:val="Lienhypertexte"/>
              </w:rPr>
              <w:t>15</w:t>
            </w:r>
            <w:r w:rsidR="1BDD9486">
              <w:fldChar w:fldCharType="end"/>
            </w:r>
          </w:hyperlink>
        </w:p>
        <w:p w14:paraId="1A9F0C53" w14:textId="445CEC18" w:rsidR="1BDD9486" w:rsidRDefault="3BFF6491" w:rsidP="1BDD9486">
          <w:pPr>
            <w:pStyle w:val="TM2"/>
            <w:tabs>
              <w:tab w:val="right" w:leader="dot" w:pos="9015"/>
            </w:tabs>
            <w:rPr>
              <w:rStyle w:val="Lienhypertexte"/>
            </w:rPr>
          </w:pPr>
          <w:hyperlink w:anchor="_Toc139120796">
            <w:r w:rsidRPr="3BFF6491">
              <w:rPr>
                <w:rStyle w:val="Lienhypertexte"/>
              </w:rPr>
              <w:t>Sujet 1 : Carbone organique et taux d’argile</w:t>
            </w:r>
            <w:r w:rsidR="1BDD9486">
              <w:tab/>
            </w:r>
            <w:r w:rsidR="1BDD9486">
              <w:fldChar w:fldCharType="begin"/>
            </w:r>
            <w:r w:rsidR="1BDD9486">
              <w:instrText>PAGEREF _Toc139120796 \h</w:instrText>
            </w:r>
            <w:r w:rsidR="1BDD9486">
              <w:fldChar w:fldCharType="separate"/>
            </w:r>
            <w:r w:rsidRPr="3BFF6491">
              <w:rPr>
                <w:rStyle w:val="Lienhypertexte"/>
              </w:rPr>
              <w:t>18</w:t>
            </w:r>
            <w:r w:rsidR="1BDD9486">
              <w:fldChar w:fldCharType="end"/>
            </w:r>
          </w:hyperlink>
        </w:p>
        <w:p w14:paraId="74A4CD2E" w14:textId="56C19759" w:rsidR="1BDD9486" w:rsidRDefault="3BFF6491" w:rsidP="1BDD9486">
          <w:pPr>
            <w:pStyle w:val="TM2"/>
            <w:tabs>
              <w:tab w:val="right" w:leader="dot" w:pos="9015"/>
            </w:tabs>
            <w:rPr>
              <w:rStyle w:val="Lienhypertexte"/>
            </w:rPr>
          </w:pPr>
          <w:hyperlink w:anchor="_Toc950463695">
            <w:r w:rsidRPr="3BFF6491">
              <w:rPr>
                <w:rStyle w:val="Lienhypertexte"/>
              </w:rPr>
              <w:t>Sujet 2 : pH</w:t>
            </w:r>
            <w:r w:rsidR="1BDD9486">
              <w:tab/>
            </w:r>
            <w:r w:rsidR="1BDD9486">
              <w:fldChar w:fldCharType="begin"/>
            </w:r>
            <w:r w:rsidR="1BDD9486">
              <w:instrText>PAGEREF _Toc950463695 \h</w:instrText>
            </w:r>
            <w:r w:rsidR="1BDD9486">
              <w:fldChar w:fldCharType="separate"/>
            </w:r>
            <w:r w:rsidRPr="3BFF6491">
              <w:rPr>
                <w:rStyle w:val="Lienhypertexte"/>
              </w:rPr>
              <w:t>33</w:t>
            </w:r>
            <w:r w:rsidR="1BDD9486">
              <w:fldChar w:fldCharType="end"/>
            </w:r>
          </w:hyperlink>
        </w:p>
        <w:p w14:paraId="7D69DCA3" w14:textId="332B9C6F" w:rsidR="1BDD9486" w:rsidRDefault="3BFF6491" w:rsidP="1BDD9486">
          <w:pPr>
            <w:pStyle w:val="TM2"/>
            <w:tabs>
              <w:tab w:val="right" w:leader="dot" w:pos="9015"/>
            </w:tabs>
            <w:rPr>
              <w:rStyle w:val="Lienhypertexte"/>
            </w:rPr>
          </w:pPr>
          <w:hyperlink w:anchor="_Toc356295761">
            <w:r w:rsidRPr="3BFF6491">
              <w:rPr>
                <w:rStyle w:val="Lienhypertexte"/>
              </w:rPr>
              <w:t>Conclusion</w:t>
            </w:r>
            <w:r w:rsidR="1BDD9486">
              <w:tab/>
            </w:r>
            <w:r w:rsidR="1BDD9486">
              <w:fldChar w:fldCharType="begin"/>
            </w:r>
            <w:r w:rsidR="1BDD9486">
              <w:instrText>PAGEREF _Toc356295761 \h</w:instrText>
            </w:r>
            <w:r w:rsidR="1BDD9486">
              <w:fldChar w:fldCharType="separate"/>
            </w:r>
            <w:r w:rsidRPr="3BFF6491">
              <w:rPr>
                <w:rStyle w:val="Lienhypertexte"/>
              </w:rPr>
              <w:t>42</w:t>
            </w:r>
            <w:r w:rsidR="1BDD9486">
              <w:fldChar w:fldCharType="end"/>
            </w:r>
          </w:hyperlink>
        </w:p>
        <w:p w14:paraId="5B3C1FF7" w14:textId="470208F1" w:rsidR="1BDD9486" w:rsidRDefault="3BFF6491" w:rsidP="1BDD9486">
          <w:pPr>
            <w:pStyle w:val="TM1"/>
            <w:tabs>
              <w:tab w:val="right" w:leader="dot" w:pos="9015"/>
            </w:tabs>
            <w:rPr>
              <w:rStyle w:val="Lienhypertexte"/>
            </w:rPr>
          </w:pPr>
          <w:hyperlink w:anchor="_Toc2034185988">
            <w:r w:rsidRPr="3BFF6491">
              <w:rPr>
                <w:rStyle w:val="Lienhypertexte"/>
              </w:rPr>
              <w:t>Évaluation économique &amp; environnementale (WP5)</w:t>
            </w:r>
            <w:r w:rsidR="1BDD9486">
              <w:tab/>
            </w:r>
            <w:r w:rsidR="1BDD9486">
              <w:fldChar w:fldCharType="begin"/>
            </w:r>
            <w:r w:rsidR="1BDD9486">
              <w:instrText>PAGEREF _Toc2034185988 \h</w:instrText>
            </w:r>
            <w:r w:rsidR="1BDD9486">
              <w:fldChar w:fldCharType="separate"/>
            </w:r>
            <w:r w:rsidRPr="3BFF6491">
              <w:rPr>
                <w:rStyle w:val="Lienhypertexte"/>
              </w:rPr>
              <w:t>43</w:t>
            </w:r>
            <w:r w:rsidR="1BDD9486">
              <w:fldChar w:fldCharType="end"/>
            </w:r>
          </w:hyperlink>
        </w:p>
        <w:p w14:paraId="7FA59BDC" w14:textId="76AC8505" w:rsidR="1BDD9486" w:rsidRDefault="3BFF6491" w:rsidP="1BDD9486">
          <w:pPr>
            <w:pStyle w:val="TM2"/>
            <w:tabs>
              <w:tab w:val="right" w:leader="dot" w:pos="9015"/>
            </w:tabs>
            <w:rPr>
              <w:rStyle w:val="Lienhypertexte"/>
            </w:rPr>
          </w:pPr>
          <w:hyperlink w:anchor="_Toc1752756628">
            <w:r w:rsidRPr="3BFF6491">
              <w:rPr>
                <w:rStyle w:val="Lienhypertexte"/>
              </w:rPr>
              <w:t>Référence</w:t>
            </w:r>
            <w:r w:rsidR="1BDD9486">
              <w:tab/>
            </w:r>
            <w:r w:rsidR="1BDD9486">
              <w:fldChar w:fldCharType="begin"/>
            </w:r>
            <w:r w:rsidR="1BDD9486">
              <w:instrText>PAGEREF _Toc1752756628 \h</w:instrText>
            </w:r>
            <w:r w:rsidR="1BDD9486">
              <w:fldChar w:fldCharType="separate"/>
            </w:r>
            <w:r w:rsidRPr="3BFF6491">
              <w:rPr>
                <w:rStyle w:val="Lienhypertexte"/>
              </w:rPr>
              <w:t>43</w:t>
            </w:r>
            <w:r w:rsidR="1BDD9486">
              <w:fldChar w:fldCharType="end"/>
            </w:r>
          </w:hyperlink>
        </w:p>
        <w:p w14:paraId="30B6FAAD" w14:textId="7AD262A9" w:rsidR="1BDD9486" w:rsidRDefault="3BFF6491" w:rsidP="1BDD9486">
          <w:pPr>
            <w:pStyle w:val="TM2"/>
            <w:tabs>
              <w:tab w:val="right" w:leader="dot" w:pos="9015"/>
            </w:tabs>
            <w:rPr>
              <w:rStyle w:val="Lienhypertexte"/>
            </w:rPr>
          </w:pPr>
          <w:hyperlink w:anchor="_Toc1141494922">
            <w:r w:rsidRPr="3BFF6491">
              <w:rPr>
                <w:rStyle w:val="Lienhypertexte"/>
              </w:rPr>
              <w:t>Solution testée</w:t>
            </w:r>
            <w:r w:rsidR="1BDD9486">
              <w:tab/>
            </w:r>
            <w:r w:rsidR="1BDD9486">
              <w:fldChar w:fldCharType="begin"/>
            </w:r>
            <w:r w:rsidR="1BDD9486">
              <w:instrText>PAGEREF _Toc1141494922 \h</w:instrText>
            </w:r>
            <w:r w:rsidR="1BDD9486">
              <w:fldChar w:fldCharType="separate"/>
            </w:r>
            <w:r w:rsidRPr="3BFF6491">
              <w:rPr>
                <w:rStyle w:val="Lienhypertexte"/>
              </w:rPr>
              <w:t>44</w:t>
            </w:r>
            <w:r w:rsidR="1BDD9486">
              <w:fldChar w:fldCharType="end"/>
            </w:r>
          </w:hyperlink>
        </w:p>
        <w:p w14:paraId="5223461C" w14:textId="371B40A3" w:rsidR="1BDD9486" w:rsidRDefault="3BFF6491" w:rsidP="1BDD9486">
          <w:pPr>
            <w:pStyle w:val="TM2"/>
            <w:tabs>
              <w:tab w:val="right" w:leader="dot" w:pos="9015"/>
            </w:tabs>
            <w:rPr>
              <w:rStyle w:val="Lienhypertexte"/>
            </w:rPr>
          </w:pPr>
          <w:hyperlink w:anchor="_Toc786367872">
            <w:r w:rsidRPr="3BFF6491">
              <w:rPr>
                <w:rStyle w:val="Lienhypertexte"/>
              </w:rPr>
              <w:t>Évaluation des coûts</w:t>
            </w:r>
            <w:r w:rsidR="1BDD9486">
              <w:tab/>
            </w:r>
            <w:r w:rsidR="1BDD9486">
              <w:fldChar w:fldCharType="begin"/>
            </w:r>
            <w:r w:rsidR="1BDD9486">
              <w:instrText>PAGEREF _Toc786367872 \h</w:instrText>
            </w:r>
            <w:r w:rsidR="1BDD9486">
              <w:fldChar w:fldCharType="separate"/>
            </w:r>
            <w:r w:rsidRPr="3BFF6491">
              <w:rPr>
                <w:rStyle w:val="Lienhypertexte"/>
              </w:rPr>
              <w:t>44</w:t>
            </w:r>
            <w:r w:rsidR="1BDD9486">
              <w:fldChar w:fldCharType="end"/>
            </w:r>
          </w:hyperlink>
        </w:p>
        <w:p w14:paraId="79EA956E" w14:textId="76B9F5B7" w:rsidR="1BDD9486" w:rsidRDefault="3BFF6491" w:rsidP="1BDD9486">
          <w:pPr>
            <w:pStyle w:val="TM2"/>
            <w:tabs>
              <w:tab w:val="right" w:leader="dot" w:pos="9015"/>
            </w:tabs>
            <w:rPr>
              <w:rStyle w:val="Lienhypertexte"/>
            </w:rPr>
          </w:pPr>
          <w:hyperlink w:anchor="_Toc561902137">
            <w:r w:rsidRPr="3BFF6491">
              <w:rPr>
                <w:rStyle w:val="Lienhypertexte"/>
              </w:rPr>
              <w:t>Évaluation des bénéfices</w:t>
            </w:r>
            <w:r w:rsidR="1BDD9486">
              <w:tab/>
            </w:r>
            <w:r w:rsidR="1BDD9486">
              <w:fldChar w:fldCharType="begin"/>
            </w:r>
            <w:r w:rsidR="1BDD9486">
              <w:instrText>PAGEREF _Toc561902137 \h</w:instrText>
            </w:r>
            <w:r w:rsidR="1BDD9486">
              <w:fldChar w:fldCharType="separate"/>
            </w:r>
            <w:r w:rsidRPr="3BFF6491">
              <w:rPr>
                <w:rStyle w:val="Lienhypertexte"/>
              </w:rPr>
              <w:t>47</w:t>
            </w:r>
            <w:r w:rsidR="1BDD9486">
              <w:fldChar w:fldCharType="end"/>
            </w:r>
          </w:hyperlink>
        </w:p>
        <w:p w14:paraId="40C5CF6F" w14:textId="4780CC36" w:rsidR="1BDD9486" w:rsidRDefault="3BFF6491" w:rsidP="0FF8C3A4">
          <w:pPr>
            <w:pStyle w:val="TM2"/>
            <w:tabs>
              <w:tab w:val="right" w:leader="dot" w:pos="9015"/>
            </w:tabs>
            <w:rPr>
              <w:rStyle w:val="Lienhypertexte"/>
            </w:rPr>
          </w:pPr>
          <w:hyperlink w:anchor="_Toc930698191">
            <w:r w:rsidRPr="3BFF6491">
              <w:rPr>
                <w:rStyle w:val="Lienhypertexte"/>
              </w:rPr>
              <w:t>Conclusion</w:t>
            </w:r>
            <w:r w:rsidR="1BDD9486">
              <w:tab/>
            </w:r>
            <w:r w:rsidR="1BDD9486">
              <w:fldChar w:fldCharType="begin"/>
            </w:r>
            <w:r w:rsidR="1BDD9486">
              <w:instrText>PAGEREF _Toc930698191 \h</w:instrText>
            </w:r>
            <w:r w:rsidR="1BDD9486">
              <w:fldChar w:fldCharType="separate"/>
            </w:r>
            <w:r w:rsidRPr="3BFF6491">
              <w:rPr>
                <w:rStyle w:val="Lienhypertexte"/>
              </w:rPr>
              <w:t>51</w:t>
            </w:r>
            <w:r w:rsidR="1BDD9486">
              <w:fldChar w:fldCharType="end"/>
            </w:r>
          </w:hyperlink>
        </w:p>
        <w:p w14:paraId="25A6F681" w14:textId="7454B164" w:rsidR="0FF8C3A4" w:rsidRDefault="3BFF6491" w:rsidP="0FF8C3A4">
          <w:pPr>
            <w:pStyle w:val="TM1"/>
            <w:tabs>
              <w:tab w:val="right" w:leader="dot" w:pos="9015"/>
            </w:tabs>
            <w:rPr>
              <w:rStyle w:val="Lienhypertexte"/>
            </w:rPr>
          </w:pPr>
          <w:hyperlink w:anchor="_Toc24279351">
            <w:r w:rsidRPr="3BFF6491">
              <w:rPr>
                <w:rStyle w:val="Lienhypertexte"/>
              </w:rPr>
              <w:t>Évaluation organisationnelle (WP5)</w:t>
            </w:r>
            <w:r w:rsidR="0FF8C3A4">
              <w:tab/>
            </w:r>
            <w:r w:rsidR="0FF8C3A4">
              <w:fldChar w:fldCharType="begin"/>
            </w:r>
            <w:r w:rsidR="0FF8C3A4">
              <w:instrText>PAGEREF _Toc24279351 \h</w:instrText>
            </w:r>
            <w:r w:rsidR="0FF8C3A4">
              <w:fldChar w:fldCharType="separate"/>
            </w:r>
            <w:r w:rsidRPr="3BFF6491">
              <w:rPr>
                <w:rStyle w:val="Lienhypertexte"/>
              </w:rPr>
              <w:t>52</w:t>
            </w:r>
            <w:r w:rsidR="0FF8C3A4">
              <w:fldChar w:fldCharType="end"/>
            </w:r>
          </w:hyperlink>
        </w:p>
        <w:p w14:paraId="3CC8CC7D" w14:textId="6EC416B9" w:rsidR="0FF8C3A4" w:rsidRDefault="3BFF6491" w:rsidP="0FF8C3A4">
          <w:pPr>
            <w:pStyle w:val="TM1"/>
            <w:tabs>
              <w:tab w:val="right" w:leader="dot" w:pos="9015"/>
            </w:tabs>
            <w:rPr>
              <w:rStyle w:val="Lienhypertexte"/>
            </w:rPr>
          </w:pPr>
          <w:hyperlink w:anchor="_Toc1973089767">
            <w:r w:rsidRPr="3BFF6491">
              <w:rPr>
                <w:rStyle w:val="Lienhypertexte"/>
              </w:rPr>
              <w:t>Conclusion</w:t>
            </w:r>
            <w:r w:rsidR="0FF8C3A4">
              <w:tab/>
            </w:r>
            <w:r w:rsidR="0FF8C3A4">
              <w:fldChar w:fldCharType="begin"/>
            </w:r>
            <w:r w:rsidR="0FF8C3A4">
              <w:instrText>PAGEREF _Toc1973089767 \h</w:instrText>
            </w:r>
            <w:r w:rsidR="0FF8C3A4">
              <w:fldChar w:fldCharType="separate"/>
            </w:r>
            <w:r w:rsidRPr="3BFF6491">
              <w:rPr>
                <w:rStyle w:val="Lienhypertexte"/>
              </w:rPr>
              <w:t>53</w:t>
            </w:r>
            <w:r w:rsidR="0FF8C3A4">
              <w:fldChar w:fldCharType="end"/>
            </w:r>
          </w:hyperlink>
          <w:r w:rsidR="0FF8C3A4">
            <w:fldChar w:fldCharType="end"/>
          </w:r>
        </w:p>
      </w:sdtContent>
    </w:sdt>
    <w:p w14:paraId="393951DD" w14:textId="1C93348C" w:rsidR="367AD2C4" w:rsidRDefault="367AD2C4" w:rsidP="1FC20747">
      <w:pPr>
        <w:pStyle w:val="TM2"/>
        <w:tabs>
          <w:tab w:val="right" w:leader="dot" w:pos="9015"/>
        </w:tabs>
        <w:rPr>
          <w:rStyle w:val="Lienhypertexte"/>
          <w:rFonts w:eastAsia="Arial" w:cs="Arial"/>
        </w:rPr>
      </w:pPr>
    </w:p>
    <w:p w14:paraId="1A864F5D" w14:textId="77777777" w:rsidR="00412D7D" w:rsidRDefault="00412D7D" w:rsidP="367AD2C4">
      <w:pPr>
        <w:jc w:val="both"/>
        <w:rPr>
          <w:rFonts w:eastAsia="Arial" w:cs="Arial"/>
          <w:b/>
          <w:bCs/>
        </w:rPr>
        <w:sectPr w:rsidR="00412D7D">
          <w:headerReference w:type="default" r:id="rId8"/>
          <w:pgSz w:w="11906" w:h="16838"/>
          <w:pgMar w:top="1440" w:right="1440" w:bottom="1440" w:left="1440" w:header="720" w:footer="720" w:gutter="0"/>
          <w:cols w:space="720"/>
          <w:docGrid w:linePitch="360"/>
        </w:sectPr>
      </w:pPr>
    </w:p>
    <w:p w14:paraId="00760B18" w14:textId="26CFD37E" w:rsidR="5F1A6258" w:rsidRDefault="151B34E1" w:rsidP="3BFF6491">
      <w:pPr>
        <w:spacing w:before="240" w:after="159" w:line="276" w:lineRule="auto"/>
        <w:rPr>
          <w:rFonts w:eastAsia="Arial" w:cs="Arial"/>
          <w:b/>
          <w:bCs/>
          <w:color w:val="000000" w:themeColor="text1"/>
          <w:sz w:val="24"/>
        </w:rPr>
      </w:pPr>
      <w:r w:rsidRPr="3BFF6491">
        <w:rPr>
          <w:rFonts w:eastAsia="Arial" w:cs="Arial"/>
          <w:b/>
          <w:bCs/>
          <w:color w:val="000000" w:themeColor="text1"/>
          <w:sz w:val="24"/>
        </w:rPr>
        <w:t>Personne de contact :</w:t>
      </w:r>
    </w:p>
    <w:p w14:paraId="322CD59C" w14:textId="6EE51B1F" w:rsidR="5F1A6258" w:rsidRDefault="151B34E1" w:rsidP="3BFF6491">
      <w:pPr>
        <w:spacing w:before="240" w:after="159" w:line="276" w:lineRule="auto"/>
        <w:rPr>
          <w:rFonts w:eastAsia="Arial" w:cs="Arial"/>
          <w:color w:val="000000" w:themeColor="text1"/>
          <w:sz w:val="24"/>
        </w:rPr>
      </w:pPr>
      <w:r w:rsidRPr="3BFF6491">
        <w:rPr>
          <w:rFonts w:eastAsia="Arial" w:cs="Arial"/>
          <w:color w:val="000000" w:themeColor="text1"/>
          <w:sz w:val="24"/>
        </w:rPr>
        <w:t xml:space="preserve">Jean Artois ; </w:t>
      </w:r>
      <w:hyperlink r:id="rId9">
        <w:r w:rsidRPr="3BFF6491">
          <w:rPr>
            <w:rStyle w:val="Lienhypertexte"/>
            <w:rFonts w:eastAsia="Arial" w:cs="Arial"/>
            <w:sz w:val="24"/>
          </w:rPr>
          <w:t>j.artois@cra.wallonie.be</w:t>
        </w:r>
      </w:hyperlink>
    </w:p>
    <w:p w14:paraId="475270A6" w14:textId="6E3CBBCC" w:rsidR="5F1A6258" w:rsidRDefault="5F1A6258" w:rsidP="13C70224">
      <w:pPr>
        <w:spacing w:line="276" w:lineRule="auto"/>
        <w:jc w:val="both"/>
        <w:rPr>
          <w:rFonts w:eastAsia="Arial" w:cs="Arial"/>
          <w:b/>
          <w:bCs/>
        </w:rPr>
      </w:pPr>
    </w:p>
    <w:p w14:paraId="3AF8675A" w14:textId="4549BC67" w:rsidR="19BE79CE" w:rsidRDefault="24B70225" w:rsidP="13C70224">
      <w:pPr>
        <w:pStyle w:val="Titre1"/>
        <w:spacing w:line="276" w:lineRule="auto"/>
        <w:rPr>
          <w:rFonts w:ascii="Arial" w:eastAsia="Arial" w:hAnsi="Arial" w:cs="Arial"/>
        </w:rPr>
      </w:pPr>
      <w:bookmarkStart w:id="0" w:name="_Toc1800948460"/>
      <w:r w:rsidRPr="3BFF6491">
        <w:rPr>
          <w:rFonts w:ascii="Arial" w:eastAsia="Arial" w:hAnsi="Arial" w:cs="Arial"/>
        </w:rPr>
        <w:lastRenderedPageBreak/>
        <w:t xml:space="preserve">Objectifs de l’utilisation du smart </w:t>
      </w:r>
      <w:proofErr w:type="spellStart"/>
      <w:r w:rsidRPr="3BFF6491">
        <w:rPr>
          <w:rFonts w:ascii="Arial" w:eastAsia="Arial" w:hAnsi="Arial" w:cs="Arial"/>
        </w:rPr>
        <w:t>farming</w:t>
      </w:r>
      <w:proofErr w:type="spellEnd"/>
      <w:r w:rsidRPr="3BFF6491">
        <w:rPr>
          <w:rFonts w:ascii="Arial" w:eastAsia="Arial" w:hAnsi="Arial" w:cs="Arial"/>
        </w:rPr>
        <w:t xml:space="preserve"> (WP2)</w:t>
      </w:r>
      <w:bookmarkEnd w:id="0"/>
    </w:p>
    <w:p w14:paraId="3D975C88" w14:textId="25F357FB" w:rsidR="19BE79CE" w:rsidRDefault="78779B67" w:rsidP="13C70224">
      <w:pPr>
        <w:pStyle w:val="Titre2"/>
        <w:spacing w:line="276" w:lineRule="auto"/>
        <w:rPr>
          <w:rFonts w:ascii="Arial" w:eastAsia="Arial" w:hAnsi="Arial" w:cs="Arial"/>
        </w:rPr>
      </w:pPr>
      <w:bookmarkStart w:id="1" w:name="_Toc56459063"/>
      <w:r w:rsidRPr="3BFF6491">
        <w:rPr>
          <w:rFonts w:ascii="Arial" w:eastAsia="Arial" w:hAnsi="Arial" w:cs="Arial"/>
        </w:rPr>
        <w:t>Priorités agronomiques</w:t>
      </w:r>
      <w:bookmarkEnd w:id="1"/>
    </w:p>
    <w:p w14:paraId="7407BF0B" w14:textId="53F04805" w:rsidR="19BE79CE" w:rsidRDefault="24B70225" w:rsidP="39F73C8B">
      <w:pPr>
        <w:spacing w:line="276" w:lineRule="auto"/>
        <w:jc w:val="both"/>
        <w:rPr>
          <w:rFonts w:eastAsia="Arial" w:cs="Arial"/>
          <w:b/>
          <w:bCs/>
        </w:rPr>
      </w:pPr>
      <w:r w:rsidRPr="3BFF6491">
        <w:rPr>
          <w:rFonts w:eastAsia="Arial" w:cs="Arial"/>
        </w:rPr>
        <w:t xml:space="preserve">Au démarrage du projet, plusieurs priorités ont été définies par le gérant de la Ferme du Plein Air afin d’optimiser les pratiques agronomiques de l’exploitation. Après l’optimisation de l’irrigation, l’objectif principal était d’améliorer la teneur en matière organique des sols de </w:t>
      </w:r>
      <w:r w:rsidR="6343E1E9" w:rsidRPr="3BFF6491">
        <w:rPr>
          <w:rFonts w:eastAsia="Arial" w:cs="Arial"/>
        </w:rPr>
        <w:t>la FPA</w:t>
      </w:r>
      <w:r w:rsidRPr="3BFF6491">
        <w:rPr>
          <w:rFonts w:eastAsia="Arial" w:cs="Arial"/>
        </w:rPr>
        <w:t>. En effet, les parcelles du projet proviennent d’un système de culture intensif et environ 80 % d’entre elles ont récemment été converties à l’agriculture biologique. Ces deux types de pratiques peuvent exercer des pressions importantes sur la structure des sols et sur leur teneur en matière organique.</w:t>
      </w:r>
      <w:r w:rsidR="384D5CE2" w:rsidRPr="3BFF6491">
        <w:rPr>
          <w:rFonts w:eastAsia="Arial" w:cs="Arial"/>
        </w:rPr>
        <w:t xml:space="preserve"> </w:t>
      </w:r>
      <w:r w:rsidR="5CC1D0A4" w:rsidRPr="3BFF6491">
        <w:rPr>
          <w:rFonts w:eastAsia="Arial" w:cs="Arial"/>
        </w:rPr>
        <w:t>Finalement</w:t>
      </w:r>
      <w:r w:rsidR="592D8108" w:rsidRPr="3BFF6491">
        <w:rPr>
          <w:rFonts w:eastAsia="Arial" w:cs="Arial"/>
        </w:rPr>
        <w:t>,</w:t>
      </w:r>
      <w:r w:rsidR="5CC1D0A4" w:rsidRPr="3BFF6491">
        <w:rPr>
          <w:rFonts w:eastAsia="Arial" w:cs="Arial"/>
        </w:rPr>
        <w:t xml:space="preserve"> le rapport entre le carbone organique total (%) et la teneur en argile (%), a été retenu comme indicateur clé de la qualité des sols dans ce projet.</w:t>
      </w:r>
      <w:r w:rsidR="5DC37118" w:rsidRPr="3BFF6491">
        <w:rPr>
          <w:rFonts w:eastAsia="Arial" w:cs="Arial"/>
        </w:rPr>
        <w:t xml:space="preserve"> Cet indicateur permet de normaliser la teneur en carbone en fonction de la texture, un sol argileux ayant naturellement une capacité plus élevée à stocker le carbone organique (</w:t>
      </w:r>
      <w:r w:rsidR="6881185C" w:rsidRPr="3BFF6491">
        <w:rPr>
          <w:rFonts w:eastAsia="Arial" w:cs="Arial"/>
        </w:rPr>
        <w:t>MAEC Sol, 2024</w:t>
      </w:r>
      <w:r w:rsidR="5DC37118" w:rsidRPr="3BFF6491">
        <w:rPr>
          <w:rFonts w:eastAsia="Arial" w:cs="Arial"/>
        </w:rPr>
        <w:t>). Ce ratio influence des propriétés clés du sol telles que la rétention en eau, la fertilité, la stabilité structurale et la capacité de stockage du carbone (SPW, 2020). L’étude de ce ratio a permis la mise en place d’applications de matières organiques (compost et fumier) à doses variables.</w:t>
      </w:r>
    </w:p>
    <w:p w14:paraId="6C8EF788" w14:textId="3E10906A" w:rsidR="19BE79CE" w:rsidRDefault="19BE79CE" w:rsidP="39F73C8B">
      <w:pPr>
        <w:spacing w:line="276" w:lineRule="auto"/>
        <w:rPr>
          <w:rFonts w:eastAsia="Arial" w:cs="Arial"/>
          <w:b/>
          <w:bCs/>
        </w:rPr>
      </w:pPr>
      <w:r w:rsidRPr="39F73C8B">
        <w:rPr>
          <w:rFonts w:eastAsia="Arial" w:cs="Arial"/>
        </w:rPr>
        <w:t>Ensuite, le pH, essentiel au bon fonctionnement de la nutrition minérale des plantes, a également été mentionné parmi les paramètres dont la gestion devait être optimisée.</w:t>
      </w:r>
      <w:r w:rsidR="0466F93F" w:rsidRPr="39F73C8B">
        <w:rPr>
          <w:rFonts w:eastAsia="Arial" w:cs="Arial"/>
        </w:rPr>
        <w:t xml:space="preserve"> L’étude du pH des parcelles du projet a permis la mise en place d’applications d’écumes de sucrerie à doses variables.</w:t>
      </w:r>
    </w:p>
    <w:p w14:paraId="3C6AB562" w14:textId="263DAF14" w:rsidR="39F73C8B" w:rsidRDefault="39F73C8B" w:rsidP="39F73C8B">
      <w:pPr>
        <w:spacing w:line="276" w:lineRule="auto"/>
        <w:rPr>
          <w:rFonts w:eastAsia="Arial" w:cs="Arial"/>
        </w:rPr>
      </w:pPr>
    </w:p>
    <w:p w14:paraId="6EEFF795" w14:textId="3C9A9424" w:rsidR="19BE79CE" w:rsidRDefault="24B70225" w:rsidP="13C70224">
      <w:pPr>
        <w:pStyle w:val="Titre2"/>
        <w:spacing w:line="276" w:lineRule="auto"/>
        <w:rPr>
          <w:rFonts w:ascii="Arial" w:eastAsia="Arial" w:hAnsi="Arial" w:cs="Arial"/>
        </w:rPr>
      </w:pPr>
      <w:bookmarkStart w:id="2" w:name="_Toc1940334906"/>
      <w:r w:rsidRPr="3BFF6491">
        <w:rPr>
          <w:rFonts w:ascii="Arial" w:eastAsia="Arial" w:hAnsi="Arial" w:cs="Arial"/>
        </w:rPr>
        <w:t>Applications à doses variables</w:t>
      </w:r>
      <w:bookmarkEnd w:id="2"/>
    </w:p>
    <w:p w14:paraId="6A0E7DCC" w14:textId="228438D4" w:rsidR="14EDF360" w:rsidRDefault="40E66034" w:rsidP="6D20C1D8">
      <w:pPr>
        <w:spacing w:line="276" w:lineRule="auto"/>
        <w:rPr>
          <w:rFonts w:eastAsia="Arial" w:cs="Arial"/>
        </w:rPr>
      </w:pPr>
      <w:r w:rsidRPr="39F73C8B">
        <w:rPr>
          <w:rFonts w:eastAsia="Arial" w:cs="Arial"/>
        </w:rPr>
        <w:t>U</w:t>
      </w:r>
      <w:r w:rsidR="14EDF360" w:rsidRPr="39F73C8B">
        <w:rPr>
          <w:rFonts w:eastAsia="Arial" w:cs="Arial"/>
        </w:rPr>
        <w:t xml:space="preserve">n levier agronomique important pour optimiser </w:t>
      </w:r>
      <w:r w:rsidR="37C530CC" w:rsidRPr="39F73C8B">
        <w:rPr>
          <w:rFonts w:eastAsia="Arial" w:cs="Arial"/>
        </w:rPr>
        <w:t>l</w:t>
      </w:r>
      <w:r w:rsidR="14EDF360" w:rsidRPr="39F73C8B">
        <w:rPr>
          <w:rFonts w:eastAsia="Arial" w:cs="Arial"/>
        </w:rPr>
        <w:t>es paramètres du sol</w:t>
      </w:r>
      <w:r w:rsidR="5A8DCAA5" w:rsidRPr="39F73C8B">
        <w:rPr>
          <w:rFonts w:eastAsia="Arial" w:cs="Arial"/>
        </w:rPr>
        <w:t xml:space="preserve"> sélectionnés</w:t>
      </w:r>
      <w:r w:rsidR="14EDF360" w:rsidRPr="39F73C8B">
        <w:rPr>
          <w:rFonts w:eastAsia="Arial" w:cs="Arial"/>
        </w:rPr>
        <w:t xml:space="preserve"> est la mise en place d’applications d’intrants à doses variables. L’hypothèse est en effet que ces paramètres peuvent varier au sein même des parcelles et qu’une gestion spatialement différenciée peut s’avérer nécessaire. De plus, dans un contexte de raréfaction des sources de matière organique, l’enjeu est d’identifier précisément les zones les plus défavorables au sein de l’exploitation afin d’optimiser la répartition des apports.</w:t>
      </w:r>
    </w:p>
    <w:p w14:paraId="68C6A944" w14:textId="433FAC41" w:rsidR="19BE79CE" w:rsidRDefault="05B6EB32" w:rsidP="13C70224">
      <w:pPr>
        <w:spacing w:line="276" w:lineRule="auto"/>
        <w:rPr>
          <w:rFonts w:eastAsia="Arial" w:cs="Arial"/>
          <w:b/>
          <w:bCs/>
        </w:rPr>
      </w:pPr>
      <w:r w:rsidRPr="13C70224">
        <w:rPr>
          <w:rFonts w:eastAsia="Arial" w:cs="Arial"/>
        </w:rPr>
        <w:t>La mise en place d’applications d’intrants à doses variables se déroule généralement en plusieurs étapes :</w:t>
      </w:r>
      <w:r w:rsidRPr="13C70224">
        <w:rPr>
          <w:rFonts w:eastAsia="Arial" w:cs="Arial"/>
          <w:b/>
          <w:bCs/>
        </w:rPr>
        <w:t xml:space="preserve"> la cartographie des paramètres physico-chimiques du sol, la génération et la réception de cartes de prescription, puis l’application des intrants à doses variables au champ.</w:t>
      </w:r>
    </w:p>
    <w:p w14:paraId="7A7EDC39" w14:textId="51638EA1" w:rsidR="19BE79CE" w:rsidRDefault="19BE79CE" w:rsidP="13C70224">
      <w:pPr>
        <w:spacing w:line="276" w:lineRule="auto"/>
        <w:rPr>
          <w:rFonts w:eastAsia="Arial" w:cs="Arial"/>
        </w:rPr>
      </w:pPr>
      <w:r w:rsidRPr="13C70224">
        <w:rPr>
          <w:rFonts w:eastAsia="Arial" w:cs="Arial"/>
        </w:rPr>
        <w:t>Ce rapport vise premièrement à présenter et à évaluer deux solutions de cartographie des propriétés physico-chimiques du sol :</w:t>
      </w:r>
    </w:p>
    <w:p w14:paraId="29DA04A3" w14:textId="1B628B9D" w:rsidR="19BE79CE" w:rsidRDefault="19BE79CE" w:rsidP="13C70224">
      <w:pPr>
        <w:pStyle w:val="Paragraphedeliste"/>
        <w:numPr>
          <w:ilvl w:val="0"/>
          <w:numId w:val="6"/>
        </w:numPr>
        <w:spacing w:line="276" w:lineRule="auto"/>
        <w:rPr>
          <w:rFonts w:eastAsia="Arial" w:cs="Arial"/>
        </w:rPr>
      </w:pPr>
      <w:r w:rsidRPr="13C70224">
        <w:rPr>
          <w:rFonts w:eastAsia="Arial" w:cs="Arial"/>
        </w:rPr>
        <w:t xml:space="preserve">La solution Veris MSP3, proposée par </w:t>
      </w:r>
      <w:proofErr w:type="spellStart"/>
      <w:r w:rsidRPr="13C70224">
        <w:rPr>
          <w:rFonts w:eastAsia="Arial" w:cs="Arial"/>
        </w:rPr>
        <w:t>Vantage</w:t>
      </w:r>
      <w:proofErr w:type="spellEnd"/>
      <w:r w:rsidRPr="13C70224">
        <w:rPr>
          <w:rFonts w:eastAsia="Arial" w:cs="Arial"/>
        </w:rPr>
        <w:t xml:space="preserve"> Agrometius ;</w:t>
      </w:r>
    </w:p>
    <w:p w14:paraId="74E88F6C" w14:textId="191F9114" w:rsidR="19BE79CE" w:rsidRDefault="19BE79CE" w:rsidP="13C70224">
      <w:pPr>
        <w:pStyle w:val="Paragraphedeliste"/>
        <w:numPr>
          <w:ilvl w:val="0"/>
          <w:numId w:val="6"/>
        </w:numPr>
        <w:spacing w:line="276" w:lineRule="auto"/>
        <w:rPr>
          <w:rFonts w:eastAsia="Arial" w:cs="Arial"/>
        </w:rPr>
      </w:pPr>
      <w:r w:rsidRPr="13C70224">
        <w:rPr>
          <w:rFonts w:eastAsia="Arial" w:cs="Arial"/>
        </w:rPr>
        <w:t>La solution InterraScan, proposée par Syngenta.</w:t>
      </w:r>
    </w:p>
    <w:p w14:paraId="5BD22D45" w14:textId="3AA031D8" w:rsidR="19BE79CE" w:rsidRDefault="19BE79CE" w:rsidP="13C70224">
      <w:pPr>
        <w:spacing w:line="276" w:lineRule="auto"/>
        <w:rPr>
          <w:rFonts w:eastAsia="Arial" w:cs="Arial"/>
        </w:rPr>
      </w:pPr>
      <w:r w:rsidRPr="13C70224">
        <w:rPr>
          <w:rFonts w:eastAsia="Arial" w:cs="Arial"/>
        </w:rPr>
        <w:t>Ces outils permettraient de caractériser finement la variabilité spatiale de certaines propriétés du sol et de générer des recommandations d’amendements adaptées à chaque zone de la parcelle.</w:t>
      </w:r>
    </w:p>
    <w:p w14:paraId="218906DA" w14:textId="6F3252CA" w:rsidR="19BE79CE" w:rsidRDefault="19BE79CE" w:rsidP="13C70224">
      <w:pPr>
        <w:spacing w:line="276" w:lineRule="auto"/>
        <w:rPr>
          <w:rFonts w:eastAsia="Arial" w:cs="Arial"/>
        </w:rPr>
      </w:pPr>
      <w:r w:rsidRPr="13C70224">
        <w:rPr>
          <w:rFonts w:eastAsia="Arial" w:cs="Arial"/>
        </w:rPr>
        <w:t>Ensuite, les stratégies développées pour la mise en place des applications d’intrants à doses variables au champ s</w:t>
      </w:r>
      <w:r w:rsidR="2F55954E" w:rsidRPr="13C70224">
        <w:rPr>
          <w:rFonts w:eastAsia="Arial" w:cs="Arial"/>
        </w:rPr>
        <w:t>eront</w:t>
      </w:r>
      <w:r w:rsidRPr="13C70224">
        <w:rPr>
          <w:rFonts w:eastAsia="Arial" w:cs="Arial"/>
        </w:rPr>
        <w:t xml:space="preserve"> également décrites.</w:t>
      </w:r>
    </w:p>
    <w:p w14:paraId="26750A34" w14:textId="0169F956" w:rsidR="19BE79CE" w:rsidRDefault="19BE79CE" w:rsidP="13C70224">
      <w:pPr>
        <w:spacing w:line="276" w:lineRule="auto"/>
        <w:rPr>
          <w:rFonts w:eastAsia="Arial" w:cs="Arial"/>
        </w:rPr>
      </w:pPr>
      <w:r w:rsidRPr="13C70224">
        <w:rPr>
          <w:rFonts w:eastAsia="Arial" w:cs="Arial"/>
        </w:rPr>
        <w:t xml:space="preserve"> </w:t>
      </w:r>
    </w:p>
    <w:p w14:paraId="02CA4E24" w14:textId="62320CE6" w:rsidR="475AC98C" w:rsidRDefault="09B8AA9E" w:rsidP="13C70224">
      <w:pPr>
        <w:pStyle w:val="Titre2"/>
        <w:spacing w:line="276" w:lineRule="auto"/>
        <w:jc w:val="both"/>
        <w:rPr>
          <w:rFonts w:ascii="Arial" w:eastAsia="Arial" w:hAnsi="Arial" w:cs="Arial"/>
        </w:rPr>
      </w:pPr>
      <w:bookmarkStart w:id="3" w:name="_Toc74203152"/>
      <w:r w:rsidRPr="3BFF6491">
        <w:rPr>
          <w:rFonts w:ascii="Arial" w:eastAsia="Arial" w:hAnsi="Arial" w:cs="Arial"/>
        </w:rPr>
        <w:t>Description des solutions</w:t>
      </w:r>
      <w:bookmarkEnd w:id="3"/>
    </w:p>
    <w:p w14:paraId="4666BCAA" w14:textId="2DA91AC1" w:rsidR="475AC98C" w:rsidRDefault="475AC98C" w:rsidP="13C70224">
      <w:pPr>
        <w:pStyle w:val="Titre3"/>
        <w:spacing w:line="276" w:lineRule="auto"/>
        <w:jc w:val="both"/>
        <w:rPr>
          <w:rFonts w:eastAsia="Arial" w:cs="Arial"/>
        </w:rPr>
      </w:pPr>
      <w:r w:rsidRPr="13C70224">
        <w:rPr>
          <w:rFonts w:eastAsia="Arial" w:cs="Arial"/>
        </w:rPr>
        <w:t>Veris MSP3</w:t>
      </w:r>
    </w:p>
    <w:p w14:paraId="7D680418" w14:textId="370D5A8C" w:rsidR="475AC98C" w:rsidRDefault="475AC98C" w:rsidP="13C70224">
      <w:pPr>
        <w:spacing w:after="159" w:line="276" w:lineRule="auto"/>
        <w:jc w:val="both"/>
        <w:rPr>
          <w:rFonts w:eastAsia="Arial" w:cs="Arial"/>
        </w:rPr>
      </w:pPr>
      <w:r w:rsidRPr="13C70224">
        <w:rPr>
          <w:rFonts w:eastAsia="Arial" w:cs="Arial"/>
        </w:rPr>
        <w:t>La solution Veris MSP3 permet de cartographier quatre paramètres du sol :</w:t>
      </w:r>
    </w:p>
    <w:p w14:paraId="34CBF8A7" w14:textId="38560433" w:rsidR="475AC98C" w:rsidRDefault="475AC98C" w:rsidP="13C70224">
      <w:pPr>
        <w:pStyle w:val="Paragraphedeliste"/>
        <w:numPr>
          <w:ilvl w:val="0"/>
          <w:numId w:val="18"/>
        </w:numPr>
        <w:spacing w:after="159" w:line="276" w:lineRule="auto"/>
        <w:jc w:val="both"/>
        <w:rPr>
          <w:rFonts w:eastAsia="Arial" w:cs="Arial"/>
        </w:rPr>
      </w:pPr>
      <w:r w:rsidRPr="13C70224">
        <w:rPr>
          <w:rFonts w:eastAsia="Arial" w:cs="Arial"/>
        </w:rPr>
        <w:lastRenderedPageBreak/>
        <w:t xml:space="preserve">La conductivité électrique du sol, mesurée à deux profondeurs (0–30 cm et 0–90 cm). La mesure de la conductivité électrique repose sur un dispositif de six lames électrodes-coutres de 43 cm de diamètre insérées dans le sol. Deux disques émettent un courant continu de 10 à 15 volts, tandis que quatre disques enregistrent le courant reçu (deux pour chaque profondeur). </w:t>
      </w:r>
    </w:p>
    <w:p w14:paraId="07EFE4C0" w14:textId="07A8E610" w:rsidR="475AC98C" w:rsidRDefault="475AC98C" w:rsidP="13C70224">
      <w:pPr>
        <w:pStyle w:val="Paragraphedeliste"/>
        <w:numPr>
          <w:ilvl w:val="0"/>
          <w:numId w:val="18"/>
        </w:numPr>
        <w:spacing w:after="159" w:line="276" w:lineRule="auto"/>
        <w:jc w:val="both"/>
        <w:rPr>
          <w:rFonts w:eastAsia="Arial" w:cs="Arial"/>
        </w:rPr>
      </w:pPr>
      <w:r w:rsidRPr="13C70224">
        <w:rPr>
          <w:rFonts w:eastAsia="Arial" w:cs="Arial"/>
        </w:rPr>
        <w:t xml:space="preserve">La teneur en matière organique est mesurée à l’aide d’un capteur proche infrarouge à double longueur d’onde. </w:t>
      </w:r>
    </w:p>
    <w:p w14:paraId="6C65A7BE" w14:textId="5B0B2CB0" w:rsidR="475AC98C" w:rsidRDefault="475AC98C" w:rsidP="13C70224">
      <w:pPr>
        <w:pStyle w:val="Paragraphedeliste"/>
        <w:numPr>
          <w:ilvl w:val="0"/>
          <w:numId w:val="18"/>
        </w:numPr>
        <w:spacing w:after="159" w:line="276" w:lineRule="auto"/>
        <w:jc w:val="both"/>
        <w:rPr>
          <w:rFonts w:eastAsia="Arial" w:cs="Arial"/>
        </w:rPr>
      </w:pPr>
      <w:r w:rsidRPr="13C70224">
        <w:rPr>
          <w:rFonts w:eastAsia="Arial" w:cs="Arial"/>
        </w:rPr>
        <w:t>La mesure du pH du sol est réalisée grâce à deux électrodes en verre sensibles aux ions hydrogène analysant en temps réel des échantillons de sol réalisés automatiquement par le dispositif lors du passage du Veris MSP3 sur les parcelles.</w:t>
      </w:r>
    </w:p>
    <w:p w14:paraId="0FE46355" w14:textId="35595790" w:rsidR="475AC98C" w:rsidRDefault="475AC98C" w:rsidP="13C70224">
      <w:pPr>
        <w:spacing w:after="159" w:line="276" w:lineRule="auto"/>
        <w:jc w:val="both"/>
        <w:rPr>
          <w:rFonts w:eastAsia="Arial" w:cs="Arial"/>
        </w:rPr>
      </w:pPr>
      <w:r w:rsidRPr="13C70224">
        <w:rPr>
          <w:rFonts w:eastAsia="Arial" w:cs="Arial"/>
        </w:rPr>
        <w:t>Les résultats sont des cartes obtenues après interpolation spatiale de données ponctuelles, enregistrées à intervalles réguliers par les capteurs embarqués. La solution présente l’avantage de couvrir l’ensemble de la surface de la parcelle, contrairement aux analyses de laboratoire classiques qui ne fournissent que des données ponctuelles.</w:t>
      </w:r>
    </w:p>
    <w:p w14:paraId="7DD859E8" w14:textId="1C3905CA" w:rsidR="1BDD9486" w:rsidRDefault="1BDD9486" w:rsidP="13C70224">
      <w:pPr>
        <w:spacing w:after="159" w:line="276" w:lineRule="auto"/>
        <w:jc w:val="both"/>
        <w:rPr>
          <w:rFonts w:eastAsia="Arial" w:cs="Arial"/>
        </w:rPr>
      </w:pPr>
    </w:p>
    <w:p w14:paraId="60E8DF6D" w14:textId="45E6DD06" w:rsidR="475AC98C" w:rsidRDefault="475AC98C" w:rsidP="13C70224">
      <w:pPr>
        <w:pStyle w:val="Titre3"/>
        <w:spacing w:line="276" w:lineRule="auto"/>
        <w:jc w:val="both"/>
        <w:rPr>
          <w:rFonts w:eastAsia="Arial" w:cs="Arial"/>
        </w:rPr>
      </w:pPr>
      <w:r w:rsidRPr="13C70224">
        <w:rPr>
          <w:rFonts w:eastAsia="Arial" w:cs="Arial"/>
        </w:rPr>
        <w:t>InterraScan</w:t>
      </w:r>
    </w:p>
    <w:p w14:paraId="752422BA" w14:textId="4C4C7614" w:rsidR="475AC98C" w:rsidRDefault="475AC98C" w:rsidP="13C70224">
      <w:pPr>
        <w:spacing w:after="159" w:line="276" w:lineRule="auto"/>
        <w:jc w:val="both"/>
        <w:rPr>
          <w:rFonts w:eastAsia="Arial" w:cs="Arial"/>
        </w:rPr>
      </w:pPr>
      <w:r w:rsidRPr="13C70224">
        <w:rPr>
          <w:rFonts w:eastAsia="Arial" w:cs="Arial"/>
        </w:rPr>
        <w:t xml:space="preserve">Cette solution utilise une technologie de détection passive des rayons gamma mesurant la radioactivité naturelle émise par quatre isotopes présents dans le sol : le césium, l’uranium, le potassium et le thorium. Cette approche permet de cartographier 27 paramètres du sol, incluant le pH, la texture, la matière et le carbone organique, la capacité d’échange cationique, la teneur en eau disponible, et divers éléments chimiques (B, </w:t>
      </w:r>
      <w:proofErr w:type="gramStart"/>
      <w:r w:rsidRPr="13C70224">
        <w:rPr>
          <w:rFonts w:eastAsia="Arial" w:cs="Arial"/>
        </w:rPr>
        <w:t>Ca</w:t>
      </w:r>
      <w:proofErr w:type="gramEnd"/>
      <w:r w:rsidRPr="13C70224">
        <w:rPr>
          <w:rFonts w:eastAsia="Arial" w:cs="Arial"/>
        </w:rPr>
        <w:t>, Cu, Fe, K, Mg, Mn, Mo, Na, P, S). La solution s’appuie sur un capteur embarqué analysant le sol en temps réel lors du passage d’un pick-up sur les parcelles. Les résultats sont des cartes obtenues après interpolation spatiale de données ponctuelles, enregistrées à intervalles réguliers par le capteur embarqué. La solution présente l’avantage de couvrir l’ensemble de la surface de la parcelle, contrairement aux analyses de laboratoire classiques qui ne fournissent que des données ponctuelles.</w:t>
      </w:r>
    </w:p>
    <w:p w14:paraId="376F6605" w14:textId="24226929" w:rsidR="1BDD9486" w:rsidRDefault="1BDD9486" w:rsidP="13C70224">
      <w:pPr>
        <w:spacing w:line="276" w:lineRule="auto"/>
        <w:jc w:val="both"/>
        <w:rPr>
          <w:rFonts w:eastAsia="Arial" w:cs="Arial"/>
        </w:rPr>
      </w:pPr>
    </w:p>
    <w:p w14:paraId="3389EED5" w14:textId="07D81F33" w:rsidR="475AC98C" w:rsidRDefault="475AC98C" w:rsidP="13C70224">
      <w:pPr>
        <w:pStyle w:val="Titre3"/>
        <w:spacing w:line="276" w:lineRule="auto"/>
        <w:jc w:val="both"/>
        <w:rPr>
          <w:rFonts w:eastAsia="Arial" w:cs="Arial"/>
        </w:rPr>
      </w:pPr>
      <w:r w:rsidRPr="13C70224">
        <w:rPr>
          <w:rFonts w:eastAsia="Arial" w:cs="Arial"/>
        </w:rPr>
        <w:t>Référence</w:t>
      </w:r>
    </w:p>
    <w:p w14:paraId="03877731" w14:textId="28D1984B" w:rsidR="475AC98C" w:rsidRDefault="475AC98C" w:rsidP="13C70224">
      <w:pPr>
        <w:pStyle w:val="Titre4"/>
        <w:spacing w:line="276" w:lineRule="auto"/>
        <w:rPr>
          <w:rFonts w:eastAsia="Arial" w:cs="Arial"/>
        </w:rPr>
      </w:pPr>
      <w:r w:rsidRPr="13C70224">
        <w:rPr>
          <w:rFonts w:eastAsia="Arial" w:cs="Arial"/>
        </w:rPr>
        <w:t>Évaluation technique des solutions</w:t>
      </w:r>
    </w:p>
    <w:p w14:paraId="532E07CC" w14:textId="1FAE8C9B" w:rsidR="475AC98C" w:rsidRDefault="475AC98C" w:rsidP="13C70224">
      <w:pPr>
        <w:spacing w:before="240" w:after="240" w:line="276" w:lineRule="auto"/>
        <w:jc w:val="both"/>
        <w:rPr>
          <w:rFonts w:eastAsia="Arial" w:cs="Arial"/>
        </w:rPr>
      </w:pPr>
      <w:r w:rsidRPr="13C70224">
        <w:rPr>
          <w:rFonts w:eastAsia="Arial" w:cs="Arial"/>
        </w:rPr>
        <w:t xml:space="preserve">Afin d’évaluer la qualité des données produites par les solutions de cartographie des sols testées, des analyses de sol réalisées en laboratoire ont été utilisées comme référence. Ces analyses constituent la base de l’évaluation technique, permettant de comparer les cartes issues des solutions Veris MSP3 et InterraScan aux résultats issus des analyses de laboratoires. Ces comparaisons ont été réalisé à la localisation des échantillons de sol, à l’échelle de la parcelle et à celle de l’exploitation. Les analyses de sol (chimiques et texture) ont été réalisées auprès de deux laboratoires : le laboratoire de référence </w:t>
      </w:r>
      <w:proofErr w:type="spellStart"/>
      <w:r w:rsidRPr="13C70224">
        <w:rPr>
          <w:rFonts w:eastAsia="Arial" w:cs="Arial"/>
        </w:rPr>
        <w:t>Requasud</w:t>
      </w:r>
      <w:proofErr w:type="spellEnd"/>
      <w:r w:rsidRPr="13C70224">
        <w:rPr>
          <w:rFonts w:eastAsia="Arial" w:cs="Arial"/>
        </w:rPr>
        <w:t xml:space="preserve"> du Brabant wallon (BW), et le Service pédologique de Belgique (BDB). La localisation des points d’analyse a été déterminée sur la base d’un avis d’expert, en tenant compte de deux critères principaux : </w:t>
      </w:r>
    </w:p>
    <w:p w14:paraId="781C64D9" w14:textId="38D8571D" w:rsidR="475AC98C" w:rsidRDefault="475AC98C" w:rsidP="13C70224">
      <w:pPr>
        <w:pStyle w:val="Paragraphedeliste"/>
        <w:numPr>
          <w:ilvl w:val="0"/>
          <w:numId w:val="22"/>
        </w:numPr>
        <w:spacing w:line="276" w:lineRule="auto"/>
        <w:jc w:val="both"/>
        <w:rPr>
          <w:rFonts w:eastAsia="Arial" w:cs="Arial"/>
        </w:rPr>
      </w:pPr>
      <w:r w:rsidRPr="13C70224">
        <w:rPr>
          <w:rFonts w:eastAsia="Arial" w:cs="Arial"/>
        </w:rPr>
        <w:t xml:space="preserve">Le parcellaire ancien : si une parcelle a été remembrée, des points d’analyse ont été sélectionnés dans chacune des anciennes subdivisions. Cette identification a été rendue possible grâce aux orthophotographies historiques mises à disposition par le Géoportail de la Wallonie. L’objectif était de maximiser l’hétérogénéité des propriétés physico-chimiques des prélèvements. </w:t>
      </w:r>
    </w:p>
    <w:p w14:paraId="6BF32B54" w14:textId="0016146F" w:rsidR="475AC98C" w:rsidRDefault="475AC98C" w:rsidP="13C70224">
      <w:pPr>
        <w:pStyle w:val="Paragraphedeliste"/>
        <w:numPr>
          <w:ilvl w:val="0"/>
          <w:numId w:val="22"/>
        </w:numPr>
        <w:spacing w:line="276" w:lineRule="auto"/>
        <w:jc w:val="both"/>
        <w:rPr>
          <w:rFonts w:eastAsia="Arial" w:cs="Arial"/>
        </w:rPr>
      </w:pPr>
      <w:r w:rsidRPr="13C70224">
        <w:rPr>
          <w:rFonts w:eastAsia="Arial" w:cs="Arial"/>
        </w:rPr>
        <w:t>La taille des parcelles : entre 7 et 17 points d’analyse ont été sélectionnés sur chaque parcelle en fonction de la surface de celles-ci. Un minimum de sept points d’échantillonnage par parcelle a été retenu afin de garantir une puissance statistique suffisante lors de l’analyse par parcelle des échantillons.</w:t>
      </w:r>
    </w:p>
    <w:p w14:paraId="74192F4C" w14:textId="674DD1D4" w:rsidR="475AC98C" w:rsidRDefault="475AC98C" w:rsidP="13C70224">
      <w:pPr>
        <w:spacing w:line="276" w:lineRule="auto"/>
        <w:jc w:val="both"/>
        <w:rPr>
          <w:rFonts w:eastAsia="Arial" w:cs="Arial"/>
        </w:rPr>
      </w:pPr>
      <w:r w:rsidRPr="13C70224">
        <w:rPr>
          <w:rFonts w:eastAsia="Arial" w:cs="Arial"/>
        </w:rPr>
        <w:lastRenderedPageBreak/>
        <w:t xml:space="preserve"> Au total 156 points d’analyses ont été sélectionnés sur les parcelles de Meux et </w:t>
      </w:r>
      <w:proofErr w:type="spellStart"/>
      <w:r w:rsidRPr="13C70224">
        <w:rPr>
          <w:rFonts w:eastAsia="Arial" w:cs="Arial"/>
        </w:rPr>
        <w:t>Thorembais</w:t>
      </w:r>
      <w:proofErr w:type="spellEnd"/>
      <w:r w:rsidRPr="13C70224">
        <w:rPr>
          <w:rFonts w:eastAsia="Arial" w:cs="Arial"/>
        </w:rPr>
        <w:t>-Saint-Trond (</w:t>
      </w:r>
      <w:r>
        <w:fldChar w:fldCharType="begin"/>
      </w:r>
      <w:r>
        <w:instrText xml:space="preserve"> REF _Ref221886458 \h  \* MERGEFORMAT </w:instrText>
      </w:r>
      <w:r>
        <w:fldChar w:fldCharType="separate"/>
      </w:r>
      <w:r>
        <w:t>Figure 1</w:t>
      </w:r>
      <w:r>
        <w:fldChar w:fldCharType="end"/>
      </w:r>
      <w:r w:rsidRPr="13C70224">
        <w:rPr>
          <w:rFonts w:eastAsia="Arial" w:cs="Arial"/>
        </w:rPr>
        <w:t xml:space="preserve">).  </w:t>
      </w:r>
    </w:p>
    <w:p w14:paraId="6168AD9D" w14:textId="77777777" w:rsidR="475AC98C" w:rsidRDefault="475AC98C" w:rsidP="13C70224">
      <w:pPr>
        <w:keepNext/>
        <w:spacing w:line="276" w:lineRule="auto"/>
        <w:jc w:val="both"/>
        <w:rPr>
          <w:rFonts w:eastAsia="Arial" w:cs="Arial"/>
        </w:rPr>
      </w:pPr>
      <w:r w:rsidRPr="13C70224">
        <w:rPr>
          <w:rFonts w:eastAsia="Arial" w:cs="Arial"/>
        </w:rPr>
        <w:t xml:space="preserve"> </w:t>
      </w:r>
      <w:r>
        <w:rPr>
          <w:noProof/>
        </w:rPr>
        <w:drawing>
          <wp:inline distT="0" distB="0" distL="0" distR="0" wp14:anchorId="5DD662AD" wp14:editId="44CBF4A7">
            <wp:extent cx="5724525" cy="2647950"/>
            <wp:effectExtent l="0" t="0" r="9525" b="0"/>
            <wp:docPr id="17731924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62986"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5724525" cy="2647950"/>
                    </a:xfrm>
                    <a:prstGeom prst="rect">
                      <a:avLst/>
                    </a:prstGeom>
                  </pic:spPr>
                </pic:pic>
              </a:graphicData>
            </a:graphic>
          </wp:inline>
        </w:drawing>
      </w:r>
    </w:p>
    <w:p w14:paraId="13F80713" w14:textId="26A1CCED" w:rsidR="475AC98C" w:rsidRDefault="475AC98C" w:rsidP="13C70224">
      <w:pPr>
        <w:pStyle w:val="Lgende"/>
        <w:spacing w:line="276" w:lineRule="auto"/>
        <w:jc w:val="both"/>
        <w:rPr>
          <w:rFonts w:eastAsia="Arial" w:cs="Arial"/>
        </w:rPr>
      </w:pPr>
      <w:r w:rsidRPr="13C70224">
        <w:rPr>
          <w:rFonts w:eastAsia="Arial" w:cs="Arial"/>
        </w:rPr>
        <w:t xml:space="preserve">Figure </w:t>
      </w:r>
      <w:r>
        <w:fldChar w:fldCharType="begin"/>
      </w:r>
      <w:r>
        <w:instrText>SEQ Figure \* ARABIC</w:instrText>
      </w:r>
      <w:r>
        <w:fldChar w:fldCharType="separate"/>
      </w:r>
      <w:r w:rsidRPr="13C70224">
        <w:rPr>
          <w:noProof/>
        </w:rPr>
        <w:t>1</w:t>
      </w:r>
      <w:r>
        <w:fldChar w:fldCharType="end"/>
      </w:r>
      <w:r w:rsidRPr="13C70224">
        <w:rPr>
          <w:rFonts w:eastAsia="Arial" w:cs="Arial"/>
        </w:rPr>
        <w:t xml:space="preserve">. Présentation de la localisation des points d’analyses (points rouges) sur les zones de </w:t>
      </w:r>
      <w:proofErr w:type="spellStart"/>
      <w:r w:rsidRPr="13C70224">
        <w:rPr>
          <w:rFonts w:eastAsia="Arial" w:cs="Arial"/>
        </w:rPr>
        <w:t>Thorembais</w:t>
      </w:r>
      <w:proofErr w:type="spellEnd"/>
      <w:r w:rsidRPr="13C70224">
        <w:rPr>
          <w:rFonts w:eastAsia="Arial" w:cs="Arial"/>
        </w:rPr>
        <w:t>-Saint-Trond et Meux.</w:t>
      </w:r>
    </w:p>
    <w:p w14:paraId="1CED8C86" w14:textId="691E85C6" w:rsidR="475AC98C" w:rsidRDefault="475AC98C" w:rsidP="13C70224">
      <w:pPr>
        <w:spacing w:line="276" w:lineRule="auto"/>
        <w:jc w:val="both"/>
        <w:rPr>
          <w:rFonts w:eastAsia="Arial" w:cs="Arial"/>
        </w:rPr>
      </w:pPr>
      <w:r w:rsidRPr="13C70224">
        <w:rPr>
          <w:rFonts w:eastAsia="Arial" w:cs="Arial"/>
        </w:rPr>
        <w:t xml:space="preserve">Un échantillon de 1 kg de terre a été prélevé dans un cercle de 5m de diamètre autour de chaque point d’analyse. Pour cela, 4 à 5 prélèvements ont été réalisés dans ce périmètre, puis homogénéisés afin de constituer un échantillon représentatif de chaque point d’analyse. Les prélèvements ont été réalisés au cours du mois de février 2024. Ces échantillons ont ensuite été subdivisés en deux sous-échantillons, chacun envoyés à un laboratoire différent pour différentes analyses : </w:t>
      </w:r>
    </w:p>
    <w:p w14:paraId="4912089D" w14:textId="278289AA" w:rsidR="475AC98C" w:rsidRDefault="475AC98C" w:rsidP="13C70224">
      <w:pPr>
        <w:pStyle w:val="Paragraphedeliste"/>
        <w:numPr>
          <w:ilvl w:val="0"/>
          <w:numId w:val="20"/>
        </w:numPr>
        <w:spacing w:line="276" w:lineRule="auto"/>
        <w:jc w:val="both"/>
        <w:rPr>
          <w:rFonts w:eastAsia="Arial" w:cs="Arial"/>
        </w:rPr>
      </w:pPr>
      <w:r w:rsidRPr="13C70224">
        <w:rPr>
          <w:rFonts w:eastAsia="Arial" w:cs="Arial"/>
        </w:rPr>
        <w:t xml:space="preserve">Une analyse physique (% Argile, limon et sable) et chimique (Azote, </w:t>
      </w:r>
      <w:proofErr w:type="gramStart"/>
      <w:r w:rsidRPr="13C70224">
        <w:rPr>
          <w:rFonts w:eastAsia="Arial" w:cs="Arial"/>
          <w:b/>
          <w:bCs/>
        </w:rPr>
        <w:t>Ca</w:t>
      </w:r>
      <w:proofErr w:type="gramEnd"/>
      <w:r w:rsidRPr="13C70224">
        <w:rPr>
          <w:rFonts w:eastAsia="Arial" w:cs="Arial"/>
        </w:rPr>
        <w:t xml:space="preserve">, CEC, </w:t>
      </w:r>
      <w:r w:rsidRPr="13C70224">
        <w:rPr>
          <w:rFonts w:eastAsia="Arial" w:cs="Arial"/>
          <w:b/>
          <w:bCs/>
        </w:rPr>
        <w:t>Carbone organique</w:t>
      </w:r>
      <w:r w:rsidRPr="13C70224">
        <w:rPr>
          <w:rFonts w:eastAsia="Arial" w:cs="Arial"/>
        </w:rPr>
        <w:t xml:space="preserve">, Cu, Fe, </w:t>
      </w:r>
      <w:r w:rsidRPr="13C70224">
        <w:rPr>
          <w:rFonts w:eastAsia="Arial" w:cs="Arial"/>
          <w:b/>
          <w:bCs/>
        </w:rPr>
        <w:t>K</w:t>
      </w:r>
      <w:r w:rsidRPr="13C70224">
        <w:rPr>
          <w:rFonts w:eastAsia="Arial" w:cs="Arial"/>
        </w:rPr>
        <w:t xml:space="preserve">, </w:t>
      </w:r>
      <w:r w:rsidRPr="13C70224">
        <w:rPr>
          <w:rFonts w:eastAsia="Arial" w:cs="Arial"/>
          <w:b/>
          <w:bCs/>
        </w:rPr>
        <w:t>Mg</w:t>
      </w:r>
      <w:r w:rsidRPr="13C70224">
        <w:rPr>
          <w:rFonts w:eastAsia="Arial" w:cs="Arial"/>
        </w:rPr>
        <w:t xml:space="preserve">, Mn, </w:t>
      </w:r>
      <w:r w:rsidRPr="13C70224">
        <w:rPr>
          <w:rFonts w:eastAsia="Arial" w:cs="Arial"/>
          <w:b/>
          <w:bCs/>
        </w:rPr>
        <w:t>Na</w:t>
      </w:r>
      <w:r w:rsidRPr="13C70224">
        <w:rPr>
          <w:rFonts w:eastAsia="Arial" w:cs="Arial"/>
        </w:rPr>
        <w:t xml:space="preserve">, </w:t>
      </w:r>
      <w:r w:rsidRPr="13C70224">
        <w:rPr>
          <w:rFonts w:eastAsia="Arial" w:cs="Arial"/>
          <w:b/>
          <w:bCs/>
        </w:rPr>
        <w:t>P</w:t>
      </w:r>
      <w:r w:rsidRPr="13C70224">
        <w:rPr>
          <w:rFonts w:eastAsia="Arial" w:cs="Arial"/>
        </w:rPr>
        <w:t xml:space="preserve">, pH eau, </w:t>
      </w:r>
      <w:r w:rsidRPr="13C70224">
        <w:rPr>
          <w:rFonts w:eastAsia="Arial" w:cs="Arial"/>
          <w:b/>
          <w:bCs/>
        </w:rPr>
        <w:t>pH KCL</w:t>
      </w:r>
      <w:r w:rsidRPr="13C70224">
        <w:rPr>
          <w:rFonts w:eastAsia="Arial" w:cs="Arial"/>
        </w:rPr>
        <w:t xml:space="preserve">, Zn) effectuée par le laboratoire BW. Différents indicateurs issus de ces analyses (indice de battance, ratio C/Argile et ratio C/N) sont aussi fournis par le laboratoire. </w:t>
      </w:r>
    </w:p>
    <w:p w14:paraId="21C3BB12" w14:textId="73BA5CCF" w:rsidR="475AC98C" w:rsidRDefault="475AC98C" w:rsidP="13C70224">
      <w:pPr>
        <w:pStyle w:val="Paragraphedeliste"/>
        <w:numPr>
          <w:ilvl w:val="0"/>
          <w:numId w:val="19"/>
        </w:numPr>
        <w:spacing w:line="276" w:lineRule="auto"/>
        <w:jc w:val="both"/>
        <w:rPr>
          <w:rFonts w:eastAsia="Arial" w:cs="Arial"/>
        </w:rPr>
      </w:pPr>
      <w:r w:rsidRPr="13C70224">
        <w:rPr>
          <w:rFonts w:eastAsia="Arial" w:cs="Arial"/>
        </w:rPr>
        <w:t xml:space="preserve">Une analyse chimique (B, </w:t>
      </w:r>
      <w:proofErr w:type="gramStart"/>
      <w:r w:rsidRPr="13C70224">
        <w:rPr>
          <w:rFonts w:eastAsia="Arial" w:cs="Arial"/>
          <w:b/>
          <w:bCs/>
        </w:rPr>
        <w:t>Ca</w:t>
      </w:r>
      <w:proofErr w:type="gramEnd"/>
      <w:r w:rsidRPr="13C70224">
        <w:rPr>
          <w:rFonts w:eastAsia="Arial" w:cs="Arial"/>
        </w:rPr>
        <w:t xml:space="preserve">, </w:t>
      </w:r>
      <w:r w:rsidRPr="13C70224">
        <w:rPr>
          <w:rFonts w:eastAsia="Arial" w:cs="Arial"/>
          <w:b/>
          <w:bCs/>
        </w:rPr>
        <w:t>Carbone organique</w:t>
      </w:r>
      <w:r w:rsidRPr="13C70224">
        <w:rPr>
          <w:rFonts w:eastAsia="Arial" w:cs="Arial"/>
        </w:rPr>
        <w:t xml:space="preserve">, </w:t>
      </w:r>
      <w:r w:rsidRPr="13C70224">
        <w:rPr>
          <w:rFonts w:eastAsia="Arial" w:cs="Arial"/>
          <w:b/>
          <w:bCs/>
        </w:rPr>
        <w:t>K</w:t>
      </w:r>
      <w:r w:rsidRPr="13C70224">
        <w:rPr>
          <w:rFonts w:eastAsia="Arial" w:cs="Arial"/>
        </w:rPr>
        <w:t xml:space="preserve">, </w:t>
      </w:r>
      <w:r w:rsidRPr="13C70224">
        <w:rPr>
          <w:rFonts w:eastAsia="Arial" w:cs="Arial"/>
          <w:b/>
          <w:bCs/>
        </w:rPr>
        <w:t>Mg</w:t>
      </w:r>
      <w:r w:rsidRPr="13C70224">
        <w:rPr>
          <w:rFonts w:eastAsia="Arial" w:cs="Arial"/>
        </w:rPr>
        <w:t xml:space="preserve">, </w:t>
      </w:r>
      <w:r w:rsidRPr="13C70224">
        <w:rPr>
          <w:rFonts w:eastAsia="Arial" w:cs="Arial"/>
          <w:b/>
          <w:bCs/>
        </w:rPr>
        <w:t>Na</w:t>
      </w:r>
      <w:r w:rsidRPr="13C70224">
        <w:rPr>
          <w:rFonts w:eastAsia="Arial" w:cs="Arial"/>
        </w:rPr>
        <w:t xml:space="preserve">, </w:t>
      </w:r>
      <w:r w:rsidRPr="13C70224">
        <w:rPr>
          <w:rFonts w:eastAsia="Arial" w:cs="Arial"/>
          <w:b/>
          <w:bCs/>
        </w:rPr>
        <w:t>P</w:t>
      </w:r>
      <w:r w:rsidRPr="13C70224">
        <w:rPr>
          <w:rFonts w:eastAsia="Arial" w:cs="Arial"/>
        </w:rPr>
        <w:t xml:space="preserve">, </w:t>
      </w:r>
      <w:r w:rsidRPr="13C70224">
        <w:rPr>
          <w:rFonts w:eastAsia="Arial" w:cs="Arial"/>
          <w:b/>
          <w:bCs/>
        </w:rPr>
        <w:t>pH KCL</w:t>
      </w:r>
      <w:r w:rsidRPr="13C70224">
        <w:rPr>
          <w:rFonts w:eastAsia="Arial" w:cs="Arial"/>
        </w:rPr>
        <w:t>, S) réalisée par le service pédologique de Belgique (BDB).</w:t>
      </w:r>
    </w:p>
    <w:p w14:paraId="23DEF0CA" w14:textId="31F87BE3" w:rsidR="475AC98C" w:rsidRDefault="475AC98C" w:rsidP="13C70224">
      <w:pPr>
        <w:spacing w:line="276" w:lineRule="auto"/>
        <w:jc w:val="both"/>
        <w:rPr>
          <w:rFonts w:eastAsia="Arial" w:cs="Arial"/>
        </w:rPr>
      </w:pPr>
      <w:r w:rsidRPr="13C70224">
        <w:rPr>
          <w:rFonts w:eastAsia="Arial" w:cs="Arial"/>
        </w:rPr>
        <w:t>Sept paramètres (en gras ci-dessus) ont été analysés par les deux laboratoires (BDB et BW) et permettront de caractériser la variabilité des résultats inter-laboratoires.</w:t>
      </w:r>
    </w:p>
    <w:p w14:paraId="0F7BEC8C" w14:textId="50017E75" w:rsidR="1BDD9486" w:rsidRDefault="1BDD9486" w:rsidP="13C70224">
      <w:pPr>
        <w:spacing w:line="276" w:lineRule="auto"/>
        <w:jc w:val="both"/>
        <w:rPr>
          <w:rFonts w:eastAsia="Arial" w:cs="Arial"/>
        </w:rPr>
      </w:pPr>
    </w:p>
    <w:p w14:paraId="1FCCB5DC" w14:textId="4ACBC1A7" w:rsidR="475AC98C" w:rsidRDefault="475AC98C" w:rsidP="13C70224">
      <w:pPr>
        <w:pStyle w:val="Titre4"/>
        <w:spacing w:line="276" w:lineRule="auto"/>
        <w:rPr>
          <w:rFonts w:eastAsia="Arial" w:cs="Arial"/>
        </w:rPr>
      </w:pPr>
      <w:r w:rsidRPr="13C70224">
        <w:rPr>
          <w:rFonts w:eastAsia="Arial" w:cs="Arial"/>
        </w:rPr>
        <w:t>Évolution des paramètres du sol après modulation</w:t>
      </w:r>
    </w:p>
    <w:p w14:paraId="0D46DF52" w14:textId="0F2D22FA" w:rsidR="475AC98C" w:rsidRDefault="475AC98C" w:rsidP="13C70224">
      <w:pPr>
        <w:spacing w:line="276" w:lineRule="auto"/>
        <w:jc w:val="both"/>
        <w:rPr>
          <w:rFonts w:eastAsia="Arial" w:cs="Arial"/>
        </w:rPr>
      </w:pPr>
      <w:r w:rsidRPr="13C70224">
        <w:rPr>
          <w:rFonts w:eastAsia="Arial" w:cs="Arial"/>
        </w:rPr>
        <w:t xml:space="preserve">Afin de tester l’effet de la mise en place de modulation des intrants sur les propriétés du sol, une deuxième campagne d’échantillonnage a été réalisée sur les parcelles </w:t>
      </w:r>
      <w:proofErr w:type="spellStart"/>
      <w:r w:rsidRPr="13C70224">
        <w:rPr>
          <w:rFonts w:eastAsia="Arial" w:cs="Arial"/>
        </w:rPr>
        <w:t>Pivot_Bois</w:t>
      </w:r>
      <w:proofErr w:type="spellEnd"/>
      <w:r w:rsidRPr="13C70224">
        <w:rPr>
          <w:rFonts w:eastAsia="Arial" w:cs="Arial"/>
        </w:rPr>
        <w:t xml:space="preserve">, </w:t>
      </w:r>
      <w:proofErr w:type="spellStart"/>
      <w:r w:rsidRPr="13C70224">
        <w:rPr>
          <w:rFonts w:eastAsia="Arial" w:cs="Arial"/>
        </w:rPr>
        <w:t>Pivot_Pont</w:t>
      </w:r>
      <w:proofErr w:type="spellEnd"/>
      <w:r w:rsidRPr="13C70224">
        <w:rPr>
          <w:rFonts w:eastAsia="Arial" w:cs="Arial"/>
        </w:rPr>
        <w:t xml:space="preserve">, </w:t>
      </w:r>
      <w:proofErr w:type="spellStart"/>
      <w:r w:rsidRPr="13C70224">
        <w:rPr>
          <w:rFonts w:eastAsia="Arial" w:cs="Arial"/>
        </w:rPr>
        <w:t>ThAuto</w:t>
      </w:r>
      <w:proofErr w:type="spellEnd"/>
      <w:r w:rsidRPr="13C70224">
        <w:rPr>
          <w:rFonts w:eastAsia="Arial" w:cs="Arial"/>
        </w:rPr>
        <w:t xml:space="preserve"> et </w:t>
      </w:r>
      <w:proofErr w:type="spellStart"/>
      <w:r w:rsidRPr="13C70224">
        <w:rPr>
          <w:rFonts w:eastAsia="Arial" w:cs="Arial"/>
        </w:rPr>
        <w:t>GrdSeumoy_D</w:t>
      </w:r>
      <w:proofErr w:type="spellEnd"/>
      <w:r w:rsidRPr="13C70224">
        <w:rPr>
          <w:rFonts w:eastAsia="Arial" w:cs="Arial"/>
        </w:rPr>
        <w:t xml:space="preserve">. Les prélèvements de terre ont été réalisés aux mêmes </w:t>
      </w:r>
      <w:r w:rsidR="1BD41055" w:rsidRPr="13C70224">
        <w:rPr>
          <w:rFonts w:eastAsia="Arial" w:cs="Arial"/>
        </w:rPr>
        <w:t>coordonnées GPS</w:t>
      </w:r>
      <w:r w:rsidRPr="13C70224">
        <w:rPr>
          <w:rFonts w:eastAsia="Arial" w:cs="Arial"/>
        </w:rPr>
        <w:t xml:space="preserve"> que lors de la première campagne d’échantillonnage. Ces prélèvements ont été effectués par le laboratoire BW pour une analyse exclusivement chimique, les paramètres de texture du sol étant supposés peu variables à l’échelle du projet. Sur trois points d’analyse, deux prélèvements distincts ont été réalisés afin d’évaluer la variabilité des résultats liée à la méthode d’échantillonnage et à l’erreur intra‑laboratoire. Au total, 50 prélèvements de sol ont été effectués lors de cette deuxième campagne d’échantillonnage.</w:t>
      </w:r>
    </w:p>
    <w:p w14:paraId="1410238D" w14:textId="299B311F" w:rsidR="1BDD9486" w:rsidRDefault="1BDD9486" w:rsidP="13C70224">
      <w:pPr>
        <w:spacing w:line="276" w:lineRule="auto"/>
        <w:jc w:val="both"/>
        <w:rPr>
          <w:rFonts w:eastAsia="Arial" w:cs="Arial"/>
        </w:rPr>
      </w:pPr>
    </w:p>
    <w:p w14:paraId="79CC0323" w14:textId="77A84438" w:rsidR="475AC98C" w:rsidRDefault="475AC98C" w:rsidP="13C70224">
      <w:pPr>
        <w:pStyle w:val="Titre4"/>
        <w:spacing w:line="276" w:lineRule="auto"/>
        <w:rPr>
          <w:rFonts w:eastAsia="Arial" w:cs="Arial"/>
        </w:rPr>
      </w:pPr>
      <w:r w:rsidRPr="13C70224">
        <w:rPr>
          <w:rFonts w:eastAsia="Arial" w:cs="Arial"/>
        </w:rPr>
        <w:lastRenderedPageBreak/>
        <w:t>Propriétés des intrants utilisées</w:t>
      </w:r>
    </w:p>
    <w:p w14:paraId="58AB1EBA" w14:textId="4AF17CB1" w:rsidR="475AC98C" w:rsidRDefault="475AC98C" w:rsidP="13C70224">
      <w:pPr>
        <w:spacing w:line="276" w:lineRule="auto"/>
        <w:jc w:val="both"/>
        <w:rPr>
          <w:rFonts w:eastAsia="Arial" w:cs="Arial"/>
        </w:rPr>
      </w:pPr>
      <w:r w:rsidRPr="13C70224">
        <w:rPr>
          <w:rFonts w:eastAsia="Arial" w:cs="Arial"/>
        </w:rPr>
        <w:t>Des analyses de laboratoire de la matière organique fournie à la Ferme du Plein Air ont également été réalisées afin d’étudier les propriétés des intrants utilisés lors des applications à dose variable :</w:t>
      </w:r>
    </w:p>
    <w:p w14:paraId="7479633F" w14:textId="6FE999AE" w:rsidR="475AC98C" w:rsidRDefault="475AC98C" w:rsidP="13C70224">
      <w:pPr>
        <w:pStyle w:val="Paragraphedeliste"/>
        <w:numPr>
          <w:ilvl w:val="0"/>
          <w:numId w:val="16"/>
        </w:numPr>
        <w:spacing w:line="276" w:lineRule="auto"/>
        <w:jc w:val="both"/>
        <w:rPr>
          <w:rFonts w:eastAsia="Arial" w:cs="Arial"/>
        </w:rPr>
      </w:pPr>
      <w:r w:rsidRPr="13C70224">
        <w:rPr>
          <w:rFonts w:eastAsia="Arial" w:cs="Arial"/>
        </w:rPr>
        <w:t>Six analyses de fumier</w:t>
      </w:r>
    </w:p>
    <w:p w14:paraId="33F3B979" w14:textId="5E599A7F" w:rsidR="475AC98C" w:rsidRDefault="475AC98C" w:rsidP="13C70224">
      <w:pPr>
        <w:pStyle w:val="Paragraphedeliste"/>
        <w:numPr>
          <w:ilvl w:val="0"/>
          <w:numId w:val="16"/>
        </w:numPr>
        <w:spacing w:line="276" w:lineRule="auto"/>
        <w:jc w:val="both"/>
        <w:rPr>
          <w:rFonts w:eastAsia="Arial" w:cs="Arial"/>
        </w:rPr>
      </w:pPr>
      <w:r w:rsidRPr="13C70224">
        <w:rPr>
          <w:rFonts w:eastAsia="Arial" w:cs="Arial"/>
        </w:rPr>
        <w:t>Trois analyses de compost</w:t>
      </w:r>
    </w:p>
    <w:p w14:paraId="179DC28B" w14:textId="493091EB" w:rsidR="475AC98C" w:rsidRDefault="475AC98C" w:rsidP="13C70224">
      <w:pPr>
        <w:spacing w:line="276" w:lineRule="auto"/>
        <w:jc w:val="both"/>
        <w:rPr>
          <w:rFonts w:eastAsia="Arial" w:cs="Arial"/>
        </w:rPr>
      </w:pPr>
      <w:r w:rsidRPr="13C70224">
        <w:rPr>
          <w:rFonts w:eastAsia="Arial" w:cs="Arial"/>
        </w:rPr>
        <w:t xml:space="preserve">Ces analyses ont été réalisées par le laboratoire de la station provinciale d’analyses agricoles de Liège, situé à </w:t>
      </w:r>
      <w:proofErr w:type="spellStart"/>
      <w:r w:rsidRPr="13C70224">
        <w:rPr>
          <w:rFonts w:eastAsia="Arial" w:cs="Arial"/>
        </w:rPr>
        <w:t>Tinlot</w:t>
      </w:r>
      <w:proofErr w:type="spellEnd"/>
      <w:r w:rsidRPr="13C70224">
        <w:rPr>
          <w:rFonts w:eastAsia="Arial" w:cs="Arial"/>
        </w:rPr>
        <w:t>.</w:t>
      </w:r>
    </w:p>
    <w:p w14:paraId="7A4E764B" w14:textId="63A9260E" w:rsidR="1BDD9486" w:rsidRDefault="1BDD9486" w:rsidP="39F73C8B">
      <w:pPr>
        <w:spacing w:line="276" w:lineRule="auto"/>
        <w:rPr>
          <w:rFonts w:eastAsia="Arial" w:cs="Arial"/>
        </w:rPr>
      </w:pPr>
    </w:p>
    <w:p w14:paraId="34C8E5A8" w14:textId="44CB0E49" w:rsidR="1C74312F" w:rsidRDefault="606AC996" w:rsidP="39F73C8B">
      <w:pPr>
        <w:pStyle w:val="Titre1"/>
        <w:spacing w:line="276" w:lineRule="auto"/>
        <w:rPr>
          <w:rFonts w:ascii="Arial" w:eastAsia="Arial" w:hAnsi="Arial" w:cs="Arial"/>
        </w:rPr>
      </w:pPr>
      <w:bookmarkStart w:id="4" w:name="_Toc505737199"/>
      <w:r w:rsidRPr="3BFF6491">
        <w:rPr>
          <w:rFonts w:ascii="Arial" w:eastAsia="Arial" w:hAnsi="Arial" w:cs="Arial"/>
        </w:rPr>
        <w:t>Mise en place du Smart-</w:t>
      </w:r>
      <w:proofErr w:type="spellStart"/>
      <w:r w:rsidRPr="3BFF6491">
        <w:rPr>
          <w:rFonts w:ascii="Arial" w:eastAsia="Arial" w:hAnsi="Arial" w:cs="Arial"/>
        </w:rPr>
        <w:t>Farming</w:t>
      </w:r>
      <w:proofErr w:type="spellEnd"/>
      <w:r w:rsidR="462F44B6" w:rsidRPr="3BFF6491">
        <w:rPr>
          <w:rFonts w:ascii="Arial" w:eastAsia="Arial" w:hAnsi="Arial" w:cs="Arial"/>
        </w:rPr>
        <w:t xml:space="preserve"> (WP4)</w:t>
      </w:r>
      <w:bookmarkEnd w:id="4"/>
    </w:p>
    <w:p w14:paraId="2AA4F78C" w14:textId="563D6424" w:rsidR="5B9BDBD6" w:rsidRDefault="11F5C4A1" w:rsidP="39F73C8B">
      <w:pPr>
        <w:pStyle w:val="Titre2"/>
        <w:spacing w:line="276" w:lineRule="auto"/>
        <w:rPr>
          <w:rFonts w:ascii="Arial" w:eastAsia="Arial" w:hAnsi="Arial" w:cs="Arial"/>
        </w:rPr>
      </w:pPr>
      <w:bookmarkStart w:id="5" w:name="_Toc1918166769"/>
      <w:r w:rsidRPr="3BFF6491">
        <w:rPr>
          <w:rFonts w:ascii="Arial" w:eastAsia="Arial" w:hAnsi="Arial" w:cs="Arial"/>
        </w:rPr>
        <w:t>Calendrier des mesures</w:t>
      </w:r>
      <w:bookmarkEnd w:id="5"/>
    </w:p>
    <w:p w14:paraId="227743AD" w14:textId="4BF44574" w:rsidR="5B9BDBD6" w:rsidRDefault="31B151A9" w:rsidP="13C70224">
      <w:pPr>
        <w:pStyle w:val="Titre3"/>
        <w:spacing w:line="276" w:lineRule="auto"/>
        <w:rPr>
          <w:rFonts w:eastAsia="Arial" w:cs="Arial"/>
        </w:rPr>
      </w:pPr>
      <w:r w:rsidRPr="13C70224">
        <w:rPr>
          <w:rFonts w:eastAsia="Arial" w:cs="Arial"/>
        </w:rPr>
        <w:t>Référence</w:t>
      </w:r>
    </w:p>
    <w:p w14:paraId="3ED1145A" w14:textId="6EDB6440" w:rsidR="5B9BDBD6" w:rsidRDefault="31B151A9" w:rsidP="13C70224">
      <w:pPr>
        <w:spacing w:after="0" w:line="276" w:lineRule="auto"/>
        <w:jc w:val="both"/>
        <w:rPr>
          <w:rFonts w:eastAsia="Arial" w:cs="Arial"/>
        </w:rPr>
      </w:pPr>
      <w:r w:rsidRPr="13C70224">
        <w:rPr>
          <w:rFonts w:eastAsia="Arial" w:cs="Arial"/>
        </w:rPr>
        <w:t>La première campagne d’</w:t>
      </w:r>
      <w:r w:rsidR="5456FA4A" w:rsidRPr="13C70224">
        <w:rPr>
          <w:rFonts w:eastAsia="Arial" w:cs="Arial"/>
        </w:rPr>
        <w:t>analyse de sol</w:t>
      </w:r>
      <w:r w:rsidRPr="13C70224">
        <w:rPr>
          <w:rFonts w:eastAsia="Arial" w:cs="Arial"/>
        </w:rPr>
        <w:t xml:space="preserve"> </w:t>
      </w:r>
      <w:r w:rsidR="608041DC" w:rsidRPr="13C70224">
        <w:rPr>
          <w:rFonts w:eastAsia="Arial" w:cs="Arial"/>
        </w:rPr>
        <w:t xml:space="preserve">a </w:t>
      </w:r>
      <w:r w:rsidRPr="13C70224">
        <w:rPr>
          <w:rFonts w:eastAsia="Arial" w:cs="Arial"/>
        </w:rPr>
        <w:t>été réalisés au cours du mois de février 2024. La deuxième campagne a été réalisée le 26/11/2025. Les analyses de compost et fumier ont été effectuées en aout 2023.</w:t>
      </w:r>
    </w:p>
    <w:p w14:paraId="47129FE2" w14:textId="6217BA7B" w:rsidR="5B9BDBD6" w:rsidRDefault="5B9BDBD6" w:rsidP="13C70224">
      <w:pPr>
        <w:spacing w:line="276" w:lineRule="auto"/>
        <w:jc w:val="both"/>
        <w:rPr>
          <w:rFonts w:eastAsia="Arial" w:cs="Arial"/>
        </w:rPr>
      </w:pPr>
    </w:p>
    <w:p w14:paraId="00B4058D" w14:textId="48B30B71" w:rsidR="5B9BDBD6" w:rsidRDefault="31B151A9" w:rsidP="13C70224">
      <w:pPr>
        <w:pStyle w:val="Titre3"/>
        <w:spacing w:line="276" w:lineRule="auto"/>
        <w:rPr>
          <w:rFonts w:eastAsia="Arial" w:cs="Arial"/>
        </w:rPr>
      </w:pPr>
      <w:r w:rsidRPr="13C70224">
        <w:rPr>
          <w:rFonts w:eastAsia="Arial" w:cs="Arial"/>
        </w:rPr>
        <w:t>Veris MSP3</w:t>
      </w:r>
    </w:p>
    <w:p w14:paraId="05D83FAE" w14:textId="2741C5F4" w:rsidR="5B9BDBD6" w:rsidRDefault="31B151A9" w:rsidP="13C70224">
      <w:pPr>
        <w:spacing w:line="276" w:lineRule="auto"/>
        <w:jc w:val="both"/>
        <w:rPr>
          <w:rFonts w:eastAsia="Arial" w:cs="Arial"/>
        </w:rPr>
      </w:pPr>
      <w:r w:rsidRPr="13C70224">
        <w:rPr>
          <w:rFonts w:eastAsia="Arial" w:cs="Arial"/>
        </w:rPr>
        <w:t xml:space="preserve">La cartographie des sols à l’aide de la solution Veris MSP3 a été réalisée entre octobre 2022 et septembre 2024, lorsque l’état des parcelles (humidité, culture en place) permettait le passage de la machine. Le calendrier des relevés est présenté dans le </w:t>
      </w:r>
      <w:r w:rsidR="5B9BDBD6" w:rsidRPr="1BDD9486">
        <w:rPr>
          <w:rFonts w:ascii="Aptos" w:eastAsia="Aptos" w:hAnsi="Aptos" w:cs="Aptos"/>
        </w:rPr>
        <w:fldChar w:fldCharType="begin"/>
      </w:r>
      <w:r w:rsidR="5B9BDBD6" w:rsidRPr="1BDD9486">
        <w:rPr>
          <w:rFonts w:eastAsia="Arial" w:cs="Arial"/>
        </w:rPr>
        <w:instrText xml:space="preserve"> REF _Ref221886524 \h </w:instrText>
      </w:r>
      <w:r w:rsidR="5B9BDBD6" w:rsidRPr="1BDD9486">
        <w:rPr>
          <w:rFonts w:ascii="Aptos" w:eastAsia="Aptos" w:hAnsi="Aptos" w:cs="Aptos"/>
        </w:rPr>
      </w:r>
      <w:r w:rsidR="5B9BDBD6" w:rsidRPr="1BDD9486">
        <w:rPr>
          <w:rFonts w:ascii="Aptos" w:eastAsia="Aptos" w:hAnsi="Aptos" w:cs="Aptos"/>
        </w:rPr>
        <w:fldChar w:fldCharType="separate"/>
      </w:r>
      <w:r w:rsidRPr="1BDD9486">
        <w:rPr>
          <w:rFonts w:eastAsia="Arial" w:cs="Arial"/>
        </w:rPr>
        <w:t xml:space="preserve">Tableau </w:t>
      </w:r>
      <w:r w:rsidRPr="1BDD9486">
        <w:rPr>
          <w:noProof/>
        </w:rPr>
        <w:t>1</w:t>
      </w:r>
      <w:r w:rsidR="5B9BDBD6" w:rsidRPr="1BDD9486">
        <w:rPr>
          <w:rFonts w:ascii="Aptos" w:eastAsia="Aptos" w:hAnsi="Aptos" w:cs="Aptos"/>
        </w:rPr>
        <w:fldChar w:fldCharType="end"/>
      </w:r>
      <w:r w:rsidRPr="13C70224">
        <w:rPr>
          <w:rFonts w:eastAsia="Arial" w:cs="Arial"/>
        </w:rPr>
        <w:t>.</w:t>
      </w:r>
      <w:r w:rsidR="5B9BDBD6">
        <w:tab/>
      </w:r>
    </w:p>
    <w:p w14:paraId="4722DF50" w14:textId="5C002B05" w:rsidR="5B9BDBD6" w:rsidRDefault="31B151A9" w:rsidP="13C70224">
      <w:pPr>
        <w:pStyle w:val="Lgende"/>
        <w:keepNext/>
        <w:spacing w:line="276" w:lineRule="auto"/>
        <w:jc w:val="both"/>
        <w:rPr>
          <w:rFonts w:eastAsia="Arial" w:cs="Arial"/>
        </w:rPr>
      </w:pPr>
      <w:r w:rsidRPr="13C70224">
        <w:rPr>
          <w:rFonts w:eastAsia="Arial" w:cs="Arial"/>
        </w:rPr>
        <w:t xml:space="preserve">Tableau </w:t>
      </w:r>
      <w:r>
        <w:fldChar w:fldCharType="begin"/>
      </w:r>
      <w:r>
        <w:instrText>SEQ Tableau \* ARABIC</w:instrText>
      </w:r>
      <w:r>
        <w:fldChar w:fldCharType="separate"/>
      </w:r>
      <w:r w:rsidRPr="13C70224">
        <w:rPr>
          <w:noProof/>
        </w:rPr>
        <w:t>1</w:t>
      </w:r>
      <w:r>
        <w:fldChar w:fldCharType="end"/>
      </w:r>
      <w:r w:rsidRPr="13C70224">
        <w:rPr>
          <w:rFonts w:eastAsia="Arial" w:cs="Arial"/>
        </w:rPr>
        <w:t xml:space="preserve">. Calendrier de passage du Veris MSP3 sur les parcelles. </w:t>
      </w:r>
      <w:r>
        <w:tab/>
      </w:r>
      <w:r>
        <w:tab/>
      </w:r>
    </w:p>
    <w:tbl>
      <w:tblPr>
        <w:tblW w:w="0" w:type="auto"/>
        <w:tblLook w:val="06A0" w:firstRow="1" w:lastRow="0" w:firstColumn="1" w:lastColumn="0" w:noHBand="1" w:noVBand="1"/>
      </w:tblPr>
      <w:tblGrid>
        <w:gridCol w:w="1353"/>
        <w:gridCol w:w="1200"/>
        <w:gridCol w:w="1065"/>
        <w:gridCol w:w="1350"/>
        <w:gridCol w:w="1395"/>
        <w:gridCol w:w="1200"/>
      </w:tblGrid>
      <w:tr w:rsidR="1BDD9486" w14:paraId="33C82A84"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C4C310" w14:textId="512DBDC9"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Parcelle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F87864" w14:textId="548869C9" w:rsidR="1BDD9486" w:rsidRDefault="1BDD9486" w:rsidP="13C70224">
            <w:pPr>
              <w:spacing w:after="0" w:line="276" w:lineRule="auto"/>
              <w:jc w:val="both"/>
              <w:rPr>
                <w:rFonts w:eastAsia="Arial" w:cs="Arial"/>
                <w:sz w:val="16"/>
                <w:szCs w:val="16"/>
              </w:rPr>
            </w:pPr>
            <w:r w:rsidRPr="13C70224">
              <w:rPr>
                <w:rFonts w:eastAsia="Arial" w:cs="Arial"/>
                <w:sz w:val="16"/>
                <w:szCs w:val="16"/>
              </w:rPr>
              <w:t>Emines</w:t>
            </w:r>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5E58BE" w14:textId="6709B290"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Flabat</w:t>
            </w:r>
            <w:proofErr w:type="spellEnd"/>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F240BA" w14:textId="5D6AAB56"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GrdSeumoy_D</w:t>
            </w:r>
            <w:proofErr w:type="spellEnd"/>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40AF7F" w14:textId="4E8CD4F0" w:rsidR="1BDD9486" w:rsidRDefault="1BDD9486" w:rsidP="13C70224">
            <w:pPr>
              <w:spacing w:after="0" w:line="276" w:lineRule="auto"/>
              <w:jc w:val="both"/>
              <w:rPr>
                <w:rFonts w:eastAsia="Arial" w:cs="Arial"/>
                <w:sz w:val="16"/>
                <w:szCs w:val="16"/>
              </w:rPr>
            </w:pPr>
            <w:r w:rsidRPr="13C70224">
              <w:rPr>
                <w:rFonts w:eastAsia="Arial" w:cs="Arial"/>
                <w:sz w:val="16"/>
                <w:szCs w:val="16"/>
              </w:rPr>
              <w:t>Lambert</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8365EB" w14:textId="47DA3ACB"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Marneffe</w:t>
            </w:r>
            <w:proofErr w:type="spellEnd"/>
          </w:p>
        </w:tc>
      </w:tr>
      <w:tr w:rsidR="1BDD9486" w14:paraId="4D0A9030"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22768D" w14:textId="4245FDC8"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Date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4AD1FB" w14:textId="65B7BC44"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7E95DC" w14:textId="4EF44BF4"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4BCBD9" w14:textId="40DDBF9A"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93D39F" w14:textId="590AA092"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64DA28" w14:textId="6A1EA5DC"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r>
      <w:tr w:rsidR="1BDD9486" w14:paraId="3EC06427" w14:textId="77777777" w:rsidTr="13C70224">
        <w:trPr>
          <w:trHeight w:val="300"/>
        </w:trPr>
        <w:tc>
          <w:tcPr>
            <w:tcW w:w="1353" w:type="dxa"/>
            <w:vAlign w:val="center"/>
          </w:tcPr>
          <w:p w14:paraId="436B20FF" w14:textId="7A1396B4" w:rsidR="1BDD9486" w:rsidRDefault="1BDD9486" w:rsidP="13C70224">
            <w:pPr>
              <w:spacing w:after="0" w:line="276" w:lineRule="auto"/>
              <w:jc w:val="both"/>
              <w:rPr>
                <w:rFonts w:eastAsia="Arial" w:cs="Arial"/>
                <w:sz w:val="16"/>
                <w:szCs w:val="16"/>
              </w:rPr>
            </w:pPr>
          </w:p>
        </w:tc>
        <w:tc>
          <w:tcPr>
            <w:tcW w:w="1200" w:type="dxa"/>
            <w:vAlign w:val="center"/>
          </w:tcPr>
          <w:p w14:paraId="0E219FAA" w14:textId="4905DDE9" w:rsidR="1BDD9486" w:rsidRDefault="1BDD9486" w:rsidP="13C70224">
            <w:pPr>
              <w:spacing w:after="0" w:line="276" w:lineRule="auto"/>
              <w:jc w:val="both"/>
              <w:rPr>
                <w:rFonts w:eastAsia="Arial" w:cs="Arial"/>
                <w:sz w:val="16"/>
                <w:szCs w:val="16"/>
              </w:rPr>
            </w:pPr>
          </w:p>
        </w:tc>
        <w:tc>
          <w:tcPr>
            <w:tcW w:w="1065" w:type="dxa"/>
            <w:vAlign w:val="center"/>
          </w:tcPr>
          <w:p w14:paraId="6DA22A05" w14:textId="2111EE13" w:rsidR="1BDD9486" w:rsidRDefault="1BDD9486" w:rsidP="13C70224">
            <w:pPr>
              <w:spacing w:after="0" w:line="276" w:lineRule="auto"/>
              <w:jc w:val="both"/>
              <w:rPr>
                <w:rFonts w:eastAsia="Arial" w:cs="Arial"/>
                <w:sz w:val="16"/>
                <w:szCs w:val="16"/>
              </w:rPr>
            </w:pPr>
          </w:p>
        </w:tc>
        <w:tc>
          <w:tcPr>
            <w:tcW w:w="1350" w:type="dxa"/>
            <w:vAlign w:val="center"/>
          </w:tcPr>
          <w:p w14:paraId="130A8703" w14:textId="13C41039" w:rsidR="1BDD9486" w:rsidRDefault="1BDD9486" w:rsidP="13C70224">
            <w:pPr>
              <w:spacing w:after="0" w:line="276" w:lineRule="auto"/>
              <w:jc w:val="both"/>
              <w:rPr>
                <w:rFonts w:eastAsia="Arial" w:cs="Arial"/>
                <w:sz w:val="16"/>
                <w:szCs w:val="16"/>
              </w:rPr>
            </w:pPr>
          </w:p>
        </w:tc>
        <w:tc>
          <w:tcPr>
            <w:tcW w:w="1395" w:type="dxa"/>
            <w:vAlign w:val="center"/>
          </w:tcPr>
          <w:p w14:paraId="05129BE5" w14:textId="010A018D" w:rsidR="1BDD9486" w:rsidRDefault="1BDD9486" w:rsidP="13C70224">
            <w:pPr>
              <w:spacing w:after="0" w:line="276" w:lineRule="auto"/>
              <w:jc w:val="both"/>
              <w:rPr>
                <w:rFonts w:eastAsia="Arial" w:cs="Arial"/>
                <w:sz w:val="16"/>
                <w:szCs w:val="16"/>
              </w:rPr>
            </w:pPr>
          </w:p>
        </w:tc>
        <w:tc>
          <w:tcPr>
            <w:tcW w:w="1200" w:type="dxa"/>
            <w:vAlign w:val="center"/>
          </w:tcPr>
          <w:p w14:paraId="5E40B585" w14:textId="43B0764C" w:rsidR="1BDD9486" w:rsidRDefault="1BDD9486" w:rsidP="13C70224">
            <w:pPr>
              <w:spacing w:after="0" w:line="276" w:lineRule="auto"/>
              <w:jc w:val="both"/>
              <w:rPr>
                <w:rFonts w:eastAsia="Arial" w:cs="Arial"/>
                <w:sz w:val="16"/>
                <w:szCs w:val="16"/>
              </w:rPr>
            </w:pPr>
          </w:p>
        </w:tc>
      </w:tr>
      <w:tr w:rsidR="1BDD9486" w14:paraId="0D12CC6B"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9C57DC" w14:textId="312FB46D"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Parcelle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837F9B" w14:textId="0426356D"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Nosipont</w:t>
            </w:r>
            <w:proofErr w:type="spellEnd"/>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88C907" w14:textId="08AF4A57"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Pivot_Bois</w:t>
            </w:r>
            <w:proofErr w:type="spellEnd"/>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D19289" w14:textId="60BBEACE"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ThAuto</w:t>
            </w:r>
            <w:proofErr w:type="spellEnd"/>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9476B4" w14:textId="49E1C7F3"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GrdSeumoy_G</w:t>
            </w:r>
            <w:proofErr w:type="spellEnd"/>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519152" w14:textId="402B69DA"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GrdVillers_G</w:t>
            </w:r>
            <w:proofErr w:type="spellEnd"/>
          </w:p>
        </w:tc>
      </w:tr>
      <w:tr w:rsidR="1BDD9486" w14:paraId="6BFA3492"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A3BE97" w14:textId="033884B0"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Date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15826B" w14:textId="14A0383E"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0D86C32" w14:textId="5103F3B1"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450BF9" w14:textId="043EDEDD" w:rsidR="1BDD9486" w:rsidRDefault="1BDD9486" w:rsidP="13C70224">
            <w:pPr>
              <w:spacing w:after="0" w:line="276" w:lineRule="auto"/>
              <w:jc w:val="both"/>
              <w:rPr>
                <w:rFonts w:eastAsia="Arial" w:cs="Arial"/>
                <w:sz w:val="16"/>
                <w:szCs w:val="16"/>
              </w:rPr>
            </w:pPr>
            <w:r w:rsidRPr="13C70224">
              <w:rPr>
                <w:rFonts w:eastAsia="Arial" w:cs="Arial"/>
                <w:sz w:val="16"/>
                <w:szCs w:val="16"/>
              </w:rPr>
              <w:t>10/2022</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D85474" w14:textId="4BF6DC50" w:rsidR="1BDD9486" w:rsidRDefault="1BDD9486" w:rsidP="13C70224">
            <w:pPr>
              <w:spacing w:after="0" w:line="276" w:lineRule="auto"/>
              <w:jc w:val="both"/>
              <w:rPr>
                <w:rFonts w:eastAsia="Arial" w:cs="Arial"/>
                <w:sz w:val="16"/>
                <w:szCs w:val="16"/>
              </w:rPr>
            </w:pPr>
            <w:r w:rsidRPr="13C70224">
              <w:rPr>
                <w:rFonts w:eastAsia="Arial" w:cs="Arial"/>
                <w:sz w:val="16"/>
                <w:szCs w:val="16"/>
              </w:rPr>
              <w:t>04/2023</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E1147E" w14:textId="24655BE4" w:rsidR="1BDD9486" w:rsidRDefault="1BDD9486" w:rsidP="13C70224">
            <w:pPr>
              <w:spacing w:after="0" w:line="276" w:lineRule="auto"/>
              <w:jc w:val="both"/>
              <w:rPr>
                <w:rFonts w:eastAsia="Arial" w:cs="Arial"/>
                <w:sz w:val="16"/>
                <w:szCs w:val="16"/>
              </w:rPr>
            </w:pPr>
            <w:r w:rsidRPr="13C70224">
              <w:rPr>
                <w:rFonts w:eastAsia="Arial" w:cs="Arial"/>
                <w:sz w:val="16"/>
                <w:szCs w:val="16"/>
              </w:rPr>
              <w:t>04/2023</w:t>
            </w:r>
          </w:p>
        </w:tc>
      </w:tr>
      <w:tr w:rsidR="1BDD9486" w14:paraId="46F76F30" w14:textId="77777777" w:rsidTr="13C70224">
        <w:trPr>
          <w:trHeight w:val="300"/>
        </w:trPr>
        <w:tc>
          <w:tcPr>
            <w:tcW w:w="1353" w:type="dxa"/>
            <w:vAlign w:val="center"/>
          </w:tcPr>
          <w:p w14:paraId="0AA8FC1E" w14:textId="413589B1" w:rsidR="1BDD9486" w:rsidRDefault="1BDD9486" w:rsidP="13C70224">
            <w:pPr>
              <w:spacing w:after="0" w:line="276" w:lineRule="auto"/>
              <w:jc w:val="both"/>
              <w:rPr>
                <w:rFonts w:eastAsia="Arial" w:cs="Arial"/>
                <w:sz w:val="16"/>
                <w:szCs w:val="16"/>
              </w:rPr>
            </w:pPr>
          </w:p>
        </w:tc>
        <w:tc>
          <w:tcPr>
            <w:tcW w:w="1200" w:type="dxa"/>
            <w:vAlign w:val="center"/>
          </w:tcPr>
          <w:p w14:paraId="6F4D2AE7" w14:textId="0D1CDF81" w:rsidR="1BDD9486" w:rsidRDefault="1BDD9486" w:rsidP="13C70224">
            <w:pPr>
              <w:spacing w:after="0" w:line="276" w:lineRule="auto"/>
              <w:jc w:val="both"/>
              <w:rPr>
                <w:rFonts w:eastAsia="Arial" w:cs="Arial"/>
                <w:sz w:val="16"/>
                <w:szCs w:val="16"/>
              </w:rPr>
            </w:pPr>
          </w:p>
        </w:tc>
        <w:tc>
          <w:tcPr>
            <w:tcW w:w="1065" w:type="dxa"/>
            <w:vAlign w:val="center"/>
          </w:tcPr>
          <w:p w14:paraId="2FC391E8" w14:textId="21B1EE98" w:rsidR="1BDD9486" w:rsidRDefault="1BDD9486" w:rsidP="13C70224">
            <w:pPr>
              <w:spacing w:after="0" w:line="276" w:lineRule="auto"/>
              <w:jc w:val="both"/>
              <w:rPr>
                <w:rFonts w:eastAsia="Arial" w:cs="Arial"/>
                <w:sz w:val="16"/>
                <w:szCs w:val="16"/>
              </w:rPr>
            </w:pPr>
          </w:p>
        </w:tc>
        <w:tc>
          <w:tcPr>
            <w:tcW w:w="1350" w:type="dxa"/>
            <w:vAlign w:val="center"/>
          </w:tcPr>
          <w:p w14:paraId="0FE04D88" w14:textId="14B8D9C6" w:rsidR="1BDD9486" w:rsidRDefault="1BDD9486" w:rsidP="13C70224">
            <w:pPr>
              <w:spacing w:after="0" w:line="276" w:lineRule="auto"/>
              <w:jc w:val="both"/>
              <w:rPr>
                <w:rFonts w:eastAsia="Arial" w:cs="Arial"/>
                <w:sz w:val="16"/>
                <w:szCs w:val="16"/>
              </w:rPr>
            </w:pPr>
          </w:p>
        </w:tc>
        <w:tc>
          <w:tcPr>
            <w:tcW w:w="1395" w:type="dxa"/>
            <w:vAlign w:val="center"/>
          </w:tcPr>
          <w:p w14:paraId="39B0C270" w14:textId="005F5DB3" w:rsidR="1BDD9486" w:rsidRDefault="1BDD9486" w:rsidP="13C70224">
            <w:pPr>
              <w:spacing w:after="0" w:line="276" w:lineRule="auto"/>
              <w:jc w:val="both"/>
              <w:rPr>
                <w:rFonts w:eastAsia="Arial" w:cs="Arial"/>
                <w:sz w:val="16"/>
                <w:szCs w:val="16"/>
              </w:rPr>
            </w:pPr>
          </w:p>
        </w:tc>
        <w:tc>
          <w:tcPr>
            <w:tcW w:w="1200" w:type="dxa"/>
            <w:vAlign w:val="center"/>
          </w:tcPr>
          <w:p w14:paraId="5A030390" w14:textId="38BE84C1" w:rsidR="1BDD9486" w:rsidRDefault="1BDD9486" w:rsidP="13C70224">
            <w:pPr>
              <w:spacing w:after="0" w:line="276" w:lineRule="auto"/>
              <w:jc w:val="both"/>
              <w:rPr>
                <w:rFonts w:eastAsia="Arial" w:cs="Arial"/>
                <w:sz w:val="16"/>
                <w:szCs w:val="16"/>
              </w:rPr>
            </w:pPr>
          </w:p>
        </w:tc>
      </w:tr>
      <w:tr w:rsidR="1BDD9486" w14:paraId="5DE805BA"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36B306" w14:textId="696D2865"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Parcelle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4D08A7" w14:textId="597CE745"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GrdVillers_D</w:t>
            </w:r>
            <w:proofErr w:type="spellEnd"/>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846553" w14:textId="5C8F2A2A" w:rsidR="1BDD9486" w:rsidRDefault="1BDD9486" w:rsidP="13C70224">
            <w:pPr>
              <w:spacing w:after="0" w:line="276" w:lineRule="auto"/>
              <w:jc w:val="both"/>
              <w:rPr>
                <w:rFonts w:eastAsia="Arial" w:cs="Arial"/>
                <w:sz w:val="16"/>
                <w:szCs w:val="16"/>
              </w:rPr>
            </w:pPr>
            <w:r w:rsidRPr="13C70224">
              <w:rPr>
                <w:rFonts w:eastAsia="Arial" w:cs="Arial"/>
                <w:sz w:val="16"/>
                <w:szCs w:val="16"/>
              </w:rPr>
              <w:t>Paradis</w:t>
            </w:r>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475FD0" w14:textId="2EC33771"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Pivot_Pont</w:t>
            </w:r>
            <w:proofErr w:type="spellEnd"/>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4BBF51" w14:textId="7C583CD3"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PtiSeumoy</w:t>
            </w:r>
            <w:proofErr w:type="spellEnd"/>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407184" w14:textId="4CCC7A1E"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PtiVillers</w:t>
            </w:r>
            <w:proofErr w:type="spellEnd"/>
          </w:p>
        </w:tc>
      </w:tr>
      <w:tr w:rsidR="1BDD9486" w14:paraId="49940FE4" w14:textId="77777777" w:rsidTr="13C70224">
        <w:trPr>
          <w:trHeight w:val="300"/>
        </w:trPr>
        <w:tc>
          <w:tcPr>
            <w:tcW w:w="13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C220CB" w14:textId="5ED7CD84"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Date</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5B790AB" w14:textId="79E9E0BD" w:rsidR="1BDD9486" w:rsidRDefault="1BDD9486" w:rsidP="13C70224">
            <w:pPr>
              <w:spacing w:after="0" w:line="276" w:lineRule="auto"/>
              <w:jc w:val="both"/>
              <w:rPr>
                <w:rFonts w:eastAsia="Arial" w:cs="Arial"/>
                <w:sz w:val="16"/>
                <w:szCs w:val="16"/>
              </w:rPr>
            </w:pPr>
            <w:r w:rsidRPr="13C70224">
              <w:rPr>
                <w:rFonts w:eastAsia="Arial" w:cs="Arial"/>
                <w:sz w:val="16"/>
                <w:szCs w:val="16"/>
              </w:rPr>
              <w:t>01/2024</w:t>
            </w:r>
          </w:p>
        </w:tc>
        <w:tc>
          <w:tcPr>
            <w:tcW w:w="10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7B1533" w14:textId="5EFEE8FF" w:rsidR="1BDD9486" w:rsidRDefault="1BDD9486" w:rsidP="13C70224">
            <w:pPr>
              <w:spacing w:after="0" w:line="276" w:lineRule="auto"/>
              <w:jc w:val="both"/>
              <w:rPr>
                <w:rFonts w:eastAsia="Arial" w:cs="Arial"/>
                <w:sz w:val="16"/>
                <w:szCs w:val="16"/>
              </w:rPr>
            </w:pPr>
            <w:r w:rsidRPr="13C70224">
              <w:rPr>
                <w:rFonts w:eastAsia="Arial" w:cs="Arial"/>
                <w:sz w:val="16"/>
                <w:szCs w:val="16"/>
              </w:rPr>
              <w:t>01/2024</w:t>
            </w:r>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5AC9128" w14:textId="05091CF3" w:rsidR="1BDD9486" w:rsidRDefault="1BDD9486" w:rsidP="13C70224">
            <w:pPr>
              <w:spacing w:after="0" w:line="276" w:lineRule="auto"/>
              <w:jc w:val="both"/>
              <w:rPr>
                <w:rFonts w:eastAsia="Arial" w:cs="Arial"/>
                <w:sz w:val="16"/>
                <w:szCs w:val="16"/>
              </w:rPr>
            </w:pPr>
            <w:r w:rsidRPr="13C70224">
              <w:rPr>
                <w:rFonts w:eastAsia="Arial" w:cs="Arial"/>
                <w:sz w:val="16"/>
                <w:szCs w:val="16"/>
              </w:rPr>
              <w:t>09/2024</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5CDA46" w14:textId="12998510" w:rsidR="1BDD9486" w:rsidRDefault="1BDD9486" w:rsidP="13C70224">
            <w:pPr>
              <w:spacing w:after="0" w:line="276" w:lineRule="auto"/>
              <w:jc w:val="both"/>
              <w:rPr>
                <w:rFonts w:eastAsia="Arial" w:cs="Arial"/>
                <w:sz w:val="16"/>
                <w:szCs w:val="16"/>
              </w:rPr>
            </w:pPr>
            <w:r w:rsidRPr="13C70224">
              <w:rPr>
                <w:rFonts w:eastAsia="Arial" w:cs="Arial"/>
                <w:sz w:val="16"/>
                <w:szCs w:val="16"/>
              </w:rPr>
              <w:t>01/2024</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AEC822" w14:textId="5612547E" w:rsidR="1BDD9486" w:rsidRDefault="1BDD9486" w:rsidP="13C70224">
            <w:pPr>
              <w:spacing w:after="0" w:line="276" w:lineRule="auto"/>
              <w:jc w:val="both"/>
              <w:rPr>
                <w:rFonts w:eastAsia="Arial" w:cs="Arial"/>
                <w:sz w:val="16"/>
                <w:szCs w:val="16"/>
              </w:rPr>
            </w:pPr>
            <w:r w:rsidRPr="13C70224">
              <w:rPr>
                <w:rFonts w:eastAsia="Arial" w:cs="Arial"/>
                <w:sz w:val="16"/>
                <w:szCs w:val="16"/>
              </w:rPr>
              <w:t>01/2024</w:t>
            </w:r>
          </w:p>
        </w:tc>
      </w:tr>
    </w:tbl>
    <w:p w14:paraId="3DE7A362" w14:textId="5056137C" w:rsidR="5B9BDBD6" w:rsidRDefault="5B9BDBD6" w:rsidP="13C70224">
      <w:pPr>
        <w:spacing w:line="276" w:lineRule="auto"/>
        <w:jc w:val="both"/>
        <w:rPr>
          <w:rFonts w:eastAsia="Arial" w:cs="Arial"/>
        </w:rPr>
      </w:pPr>
    </w:p>
    <w:p w14:paraId="0DE28319" w14:textId="12BB0D86" w:rsidR="5B9BDBD6" w:rsidRDefault="31B151A9" w:rsidP="13C70224">
      <w:pPr>
        <w:pStyle w:val="Titre3"/>
        <w:spacing w:line="276" w:lineRule="auto"/>
        <w:rPr>
          <w:rFonts w:eastAsia="Arial" w:cs="Arial"/>
        </w:rPr>
      </w:pPr>
      <w:r w:rsidRPr="13C70224">
        <w:rPr>
          <w:rFonts w:eastAsia="Arial" w:cs="Arial"/>
        </w:rPr>
        <w:t>InterraScan</w:t>
      </w:r>
    </w:p>
    <w:p w14:paraId="7838ABBC" w14:textId="610D91DA" w:rsidR="5B9BDBD6" w:rsidRDefault="31B151A9" w:rsidP="13C70224">
      <w:pPr>
        <w:spacing w:line="276" w:lineRule="auto"/>
        <w:jc w:val="both"/>
        <w:rPr>
          <w:rFonts w:eastAsia="Arial" w:cs="Arial"/>
        </w:rPr>
      </w:pPr>
      <w:r w:rsidRPr="13C70224">
        <w:rPr>
          <w:rFonts w:eastAsia="Arial" w:cs="Arial"/>
        </w:rPr>
        <w:t xml:space="preserve">La cartographie des sols à l’aide de la solution InterraScan a été réalisée entre février 2024 et août 2024, lorsque l’état des parcelles (humidité, culture en place) permettait le passage de la machine. Le calendrier des relevés est présenté dans le </w:t>
      </w:r>
      <w:r w:rsidR="5B9BDBD6" w:rsidRPr="1BDD9486">
        <w:rPr>
          <w:rFonts w:ascii="Aptos" w:eastAsia="Aptos" w:hAnsi="Aptos" w:cs="Aptos"/>
        </w:rPr>
        <w:fldChar w:fldCharType="begin"/>
      </w:r>
      <w:r w:rsidR="5B9BDBD6" w:rsidRPr="1BDD9486">
        <w:rPr>
          <w:rFonts w:eastAsia="Arial" w:cs="Arial"/>
        </w:rPr>
        <w:instrText xml:space="preserve"> REF _Ref221886545 \h </w:instrText>
      </w:r>
      <w:r w:rsidR="5B9BDBD6" w:rsidRPr="1BDD9486">
        <w:rPr>
          <w:rFonts w:ascii="Aptos" w:eastAsia="Aptos" w:hAnsi="Aptos" w:cs="Aptos"/>
        </w:rPr>
      </w:r>
      <w:r w:rsidR="5B9BDBD6" w:rsidRPr="1BDD9486">
        <w:rPr>
          <w:rFonts w:ascii="Aptos" w:eastAsia="Aptos" w:hAnsi="Aptos" w:cs="Aptos"/>
        </w:rPr>
        <w:fldChar w:fldCharType="separate"/>
      </w:r>
      <w:r w:rsidRPr="1BDD9486">
        <w:rPr>
          <w:rFonts w:eastAsia="Arial" w:cs="Arial"/>
        </w:rPr>
        <w:t xml:space="preserve">Tableau </w:t>
      </w:r>
      <w:r w:rsidRPr="1BDD9486">
        <w:rPr>
          <w:noProof/>
        </w:rPr>
        <w:t>2</w:t>
      </w:r>
      <w:r w:rsidR="5B9BDBD6" w:rsidRPr="1BDD9486">
        <w:rPr>
          <w:rFonts w:ascii="Aptos" w:eastAsia="Aptos" w:hAnsi="Aptos" w:cs="Aptos"/>
        </w:rPr>
        <w:fldChar w:fldCharType="end"/>
      </w:r>
      <w:r w:rsidRPr="13C70224">
        <w:rPr>
          <w:rFonts w:eastAsia="Arial" w:cs="Arial"/>
        </w:rPr>
        <w:t>.</w:t>
      </w:r>
    </w:p>
    <w:p w14:paraId="7CFE4384" w14:textId="73CAFC35" w:rsidR="5B9BDBD6" w:rsidRDefault="31B151A9" w:rsidP="13C70224">
      <w:pPr>
        <w:pStyle w:val="Lgende"/>
        <w:keepNext/>
        <w:spacing w:line="276" w:lineRule="auto"/>
        <w:jc w:val="both"/>
        <w:rPr>
          <w:rFonts w:eastAsia="Arial" w:cs="Arial"/>
        </w:rPr>
      </w:pPr>
      <w:r w:rsidRPr="13C70224">
        <w:rPr>
          <w:rFonts w:eastAsia="Arial" w:cs="Arial"/>
        </w:rPr>
        <w:t xml:space="preserve">Tableau </w:t>
      </w:r>
      <w:r>
        <w:fldChar w:fldCharType="begin"/>
      </w:r>
      <w:r>
        <w:instrText>SEQ Tableau \* ARABIC</w:instrText>
      </w:r>
      <w:r>
        <w:fldChar w:fldCharType="separate"/>
      </w:r>
      <w:r w:rsidRPr="13C70224">
        <w:rPr>
          <w:noProof/>
        </w:rPr>
        <w:t>2</w:t>
      </w:r>
      <w:r>
        <w:fldChar w:fldCharType="end"/>
      </w:r>
      <w:r w:rsidRPr="13C70224">
        <w:rPr>
          <w:rFonts w:eastAsia="Arial" w:cs="Arial"/>
        </w:rPr>
        <w:t>. Calendrier de passage d’InterraScan sur les parcelles.</w:t>
      </w:r>
    </w:p>
    <w:tbl>
      <w:tblPr>
        <w:tblW w:w="0" w:type="auto"/>
        <w:tblLook w:val="06A0" w:firstRow="1" w:lastRow="0" w:firstColumn="1" w:lastColumn="0" w:noHBand="1" w:noVBand="1"/>
      </w:tblPr>
      <w:tblGrid>
        <w:gridCol w:w="900"/>
        <w:gridCol w:w="930"/>
        <w:gridCol w:w="1335"/>
        <w:gridCol w:w="1215"/>
        <w:gridCol w:w="930"/>
        <w:gridCol w:w="1200"/>
        <w:gridCol w:w="1350"/>
      </w:tblGrid>
      <w:tr w:rsidR="1BDD9486" w14:paraId="2AABE7A5" w14:textId="77777777" w:rsidTr="13C70224">
        <w:trPr>
          <w:trHeight w:val="300"/>
        </w:trPr>
        <w:tc>
          <w:tcPr>
            <w:tcW w:w="9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386595" w14:textId="2C7E2C11"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Parcelle</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729E1A" w14:textId="5E23F448" w:rsidR="1BDD9486" w:rsidRDefault="1BDD9486" w:rsidP="13C70224">
            <w:pPr>
              <w:spacing w:after="0" w:line="276" w:lineRule="auto"/>
              <w:jc w:val="both"/>
              <w:rPr>
                <w:rFonts w:eastAsia="Arial" w:cs="Arial"/>
                <w:sz w:val="16"/>
                <w:szCs w:val="16"/>
              </w:rPr>
            </w:pPr>
            <w:r w:rsidRPr="13C70224">
              <w:rPr>
                <w:rFonts w:eastAsia="Arial" w:cs="Arial"/>
                <w:sz w:val="16"/>
                <w:szCs w:val="16"/>
              </w:rPr>
              <w:t>Emines</w:t>
            </w:r>
          </w:p>
        </w:tc>
        <w:tc>
          <w:tcPr>
            <w:tcW w:w="13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6626C0" w14:textId="1BEBF46F" w:rsidR="1BDD9486" w:rsidRDefault="1BDD9486" w:rsidP="13C70224">
            <w:pPr>
              <w:spacing w:after="0" w:line="276" w:lineRule="auto"/>
              <w:jc w:val="both"/>
              <w:rPr>
                <w:rFonts w:eastAsia="Arial" w:cs="Arial"/>
                <w:sz w:val="16"/>
                <w:szCs w:val="16"/>
              </w:rPr>
            </w:pPr>
            <w:r w:rsidRPr="13C70224">
              <w:rPr>
                <w:rFonts w:eastAsia="Arial" w:cs="Arial"/>
                <w:sz w:val="16"/>
                <w:szCs w:val="16"/>
              </w:rPr>
              <w:t>Lambert</w:t>
            </w:r>
          </w:p>
        </w:tc>
        <w:tc>
          <w:tcPr>
            <w:tcW w:w="12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38A0D9" w14:textId="7A7B7BAE"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ThAuto</w:t>
            </w:r>
            <w:proofErr w:type="spellEnd"/>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7F6BF0" w14:textId="76D1B1C2" w:rsidR="1BDD9486" w:rsidRDefault="1BDD9486" w:rsidP="13C70224">
            <w:pPr>
              <w:spacing w:after="0" w:line="276" w:lineRule="auto"/>
              <w:jc w:val="both"/>
              <w:rPr>
                <w:rFonts w:eastAsia="Arial" w:cs="Arial"/>
                <w:sz w:val="16"/>
                <w:szCs w:val="16"/>
              </w:rPr>
            </w:pPr>
            <w:r w:rsidRPr="13C70224">
              <w:rPr>
                <w:rFonts w:eastAsia="Arial" w:cs="Arial"/>
                <w:sz w:val="16"/>
                <w:szCs w:val="16"/>
              </w:rPr>
              <w:t>Paradis</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E4313F" w14:textId="690962E8"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GrdVillers_D</w:t>
            </w:r>
            <w:proofErr w:type="spellEnd"/>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201A96" w14:textId="5F760535"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GrdSeumoy_G</w:t>
            </w:r>
            <w:proofErr w:type="spellEnd"/>
          </w:p>
        </w:tc>
      </w:tr>
      <w:tr w:rsidR="1BDD9486" w14:paraId="628D9E80" w14:textId="77777777" w:rsidTr="13C70224">
        <w:trPr>
          <w:trHeight w:val="300"/>
        </w:trPr>
        <w:tc>
          <w:tcPr>
            <w:tcW w:w="9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9CA6B7" w14:textId="1B09F8AF"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Date</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795423" w14:textId="5EB3299F" w:rsidR="1BDD9486" w:rsidRDefault="1BDD9486" w:rsidP="13C70224">
            <w:pPr>
              <w:spacing w:after="0" w:line="276" w:lineRule="auto"/>
              <w:jc w:val="both"/>
              <w:rPr>
                <w:rFonts w:eastAsia="Arial" w:cs="Arial"/>
                <w:sz w:val="16"/>
                <w:szCs w:val="16"/>
              </w:rPr>
            </w:pPr>
            <w:r w:rsidRPr="13C70224">
              <w:rPr>
                <w:rFonts w:eastAsia="Arial" w:cs="Arial"/>
                <w:sz w:val="16"/>
                <w:szCs w:val="16"/>
              </w:rPr>
              <w:t>02/2024</w:t>
            </w:r>
          </w:p>
        </w:tc>
        <w:tc>
          <w:tcPr>
            <w:tcW w:w="13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104FEF" w14:textId="040323E3" w:rsidR="1BDD9486" w:rsidRDefault="1BDD9486" w:rsidP="13C70224">
            <w:pPr>
              <w:spacing w:after="0" w:line="276" w:lineRule="auto"/>
              <w:jc w:val="both"/>
              <w:rPr>
                <w:rFonts w:eastAsia="Arial" w:cs="Arial"/>
                <w:sz w:val="16"/>
                <w:szCs w:val="16"/>
              </w:rPr>
            </w:pPr>
            <w:r w:rsidRPr="13C70224">
              <w:rPr>
                <w:rFonts w:eastAsia="Arial" w:cs="Arial"/>
                <w:sz w:val="16"/>
                <w:szCs w:val="16"/>
              </w:rPr>
              <w:t>02/2024</w:t>
            </w:r>
          </w:p>
        </w:tc>
        <w:tc>
          <w:tcPr>
            <w:tcW w:w="12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24E49C" w14:textId="57BF87B0" w:rsidR="1BDD9486" w:rsidRDefault="1BDD9486" w:rsidP="13C70224">
            <w:pPr>
              <w:spacing w:after="0" w:line="276" w:lineRule="auto"/>
              <w:jc w:val="both"/>
              <w:rPr>
                <w:rFonts w:eastAsia="Arial" w:cs="Arial"/>
                <w:sz w:val="16"/>
                <w:szCs w:val="16"/>
              </w:rPr>
            </w:pPr>
            <w:r w:rsidRPr="13C70224">
              <w:rPr>
                <w:rFonts w:eastAsia="Arial" w:cs="Arial"/>
                <w:sz w:val="16"/>
                <w:szCs w:val="16"/>
              </w:rPr>
              <w:t>02/2024</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035419A" w14:textId="23AA0C44" w:rsidR="1BDD9486" w:rsidRDefault="1BDD9486" w:rsidP="13C70224">
            <w:pPr>
              <w:spacing w:after="0" w:line="276" w:lineRule="auto"/>
              <w:jc w:val="both"/>
              <w:rPr>
                <w:rFonts w:eastAsia="Arial" w:cs="Arial"/>
                <w:sz w:val="16"/>
                <w:szCs w:val="16"/>
              </w:rPr>
            </w:pPr>
            <w:r w:rsidRPr="13C70224">
              <w:rPr>
                <w:rFonts w:eastAsia="Arial" w:cs="Arial"/>
                <w:sz w:val="16"/>
                <w:szCs w:val="16"/>
              </w:rPr>
              <w:t>04/2024</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D0C659" w14:textId="36AB5297" w:rsidR="1BDD9486" w:rsidRDefault="1BDD9486" w:rsidP="13C70224">
            <w:pPr>
              <w:spacing w:after="0" w:line="276" w:lineRule="auto"/>
              <w:jc w:val="both"/>
              <w:rPr>
                <w:rFonts w:eastAsia="Arial" w:cs="Arial"/>
                <w:sz w:val="16"/>
                <w:szCs w:val="16"/>
              </w:rPr>
            </w:pPr>
            <w:r w:rsidRPr="13C70224">
              <w:rPr>
                <w:rFonts w:eastAsia="Arial" w:cs="Arial"/>
                <w:sz w:val="16"/>
                <w:szCs w:val="16"/>
              </w:rPr>
              <w:t>05/2024</w:t>
            </w:r>
          </w:p>
        </w:tc>
        <w:tc>
          <w:tcPr>
            <w:tcW w:w="135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2B88C5" w14:textId="1A8FCC38" w:rsidR="1BDD9486" w:rsidRDefault="1BDD9486" w:rsidP="13C70224">
            <w:pPr>
              <w:spacing w:after="0" w:line="276" w:lineRule="auto"/>
              <w:jc w:val="both"/>
              <w:rPr>
                <w:rFonts w:eastAsia="Arial" w:cs="Arial"/>
                <w:sz w:val="16"/>
                <w:szCs w:val="16"/>
              </w:rPr>
            </w:pPr>
            <w:r w:rsidRPr="13C70224">
              <w:rPr>
                <w:rFonts w:eastAsia="Arial" w:cs="Arial"/>
                <w:sz w:val="16"/>
                <w:szCs w:val="16"/>
              </w:rPr>
              <w:t>05/2024</w:t>
            </w:r>
          </w:p>
        </w:tc>
      </w:tr>
      <w:tr w:rsidR="1BDD9486" w14:paraId="05CC68B4" w14:textId="77777777" w:rsidTr="13C70224">
        <w:trPr>
          <w:trHeight w:val="300"/>
        </w:trPr>
        <w:tc>
          <w:tcPr>
            <w:tcW w:w="900" w:type="dxa"/>
            <w:vAlign w:val="center"/>
          </w:tcPr>
          <w:p w14:paraId="0AB5EEA6" w14:textId="3313BEB9" w:rsidR="1BDD9486" w:rsidRDefault="1BDD9486" w:rsidP="13C70224">
            <w:pPr>
              <w:spacing w:after="0" w:line="276" w:lineRule="auto"/>
              <w:jc w:val="both"/>
              <w:rPr>
                <w:rFonts w:eastAsia="Arial" w:cs="Arial"/>
                <w:sz w:val="16"/>
                <w:szCs w:val="16"/>
              </w:rPr>
            </w:pPr>
          </w:p>
        </w:tc>
        <w:tc>
          <w:tcPr>
            <w:tcW w:w="930" w:type="dxa"/>
            <w:vAlign w:val="center"/>
          </w:tcPr>
          <w:p w14:paraId="76FEBB51" w14:textId="5DF2110F" w:rsidR="1BDD9486" w:rsidRDefault="1BDD9486" w:rsidP="13C70224">
            <w:pPr>
              <w:spacing w:after="0" w:line="276" w:lineRule="auto"/>
              <w:jc w:val="both"/>
              <w:rPr>
                <w:rFonts w:eastAsia="Arial" w:cs="Arial"/>
                <w:sz w:val="16"/>
                <w:szCs w:val="16"/>
              </w:rPr>
            </w:pPr>
          </w:p>
        </w:tc>
        <w:tc>
          <w:tcPr>
            <w:tcW w:w="1335" w:type="dxa"/>
            <w:vAlign w:val="center"/>
          </w:tcPr>
          <w:p w14:paraId="603B57A2" w14:textId="2DF5A632" w:rsidR="1BDD9486" w:rsidRDefault="1BDD9486" w:rsidP="13C70224">
            <w:pPr>
              <w:spacing w:after="0" w:line="276" w:lineRule="auto"/>
              <w:jc w:val="both"/>
              <w:rPr>
                <w:rFonts w:eastAsia="Arial" w:cs="Arial"/>
                <w:sz w:val="16"/>
                <w:szCs w:val="16"/>
              </w:rPr>
            </w:pPr>
          </w:p>
        </w:tc>
        <w:tc>
          <w:tcPr>
            <w:tcW w:w="1215" w:type="dxa"/>
            <w:vAlign w:val="center"/>
          </w:tcPr>
          <w:p w14:paraId="381B8D83" w14:textId="1B92BFAC" w:rsidR="1BDD9486" w:rsidRDefault="1BDD9486" w:rsidP="13C70224">
            <w:pPr>
              <w:spacing w:after="0" w:line="276" w:lineRule="auto"/>
              <w:jc w:val="both"/>
              <w:rPr>
                <w:rFonts w:eastAsia="Arial" w:cs="Arial"/>
                <w:sz w:val="16"/>
                <w:szCs w:val="16"/>
              </w:rPr>
            </w:pPr>
          </w:p>
        </w:tc>
        <w:tc>
          <w:tcPr>
            <w:tcW w:w="930" w:type="dxa"/>
            <w:vAlign w:val="center"/>
          </w:tcPr>
          <w:p w14:paraId="595A1C41" w14:textId="48AB92E2" w:rsidR="1BDD9486" w:rsidRDefault="1BDD9486" w:rsidP="13C70224">
            <w:pPr>
              <w:spacing w:after="0" w:line="276" w:lineRule="auto"/>
              <w:jc w:val="both"/>
              <w:rPr>
                <w:rFonts w:eastAsia="Arial" w:cs="Arial"/>
                <w:sz w:val="16"/>
                <w:szCs w:val="16"/>
              </w:rPr>
            </w:pPr>
          </w:p>
        </w:tc>
        <w:tc>
          <w:tcPr>
            <w:tcW w:w="1200" w:type="dxa"/>
            <w:vAlign w:val="center"/>
          </w:tcPr>
          <w:p w14:paraId="6E0C8DC9" w14:textId="2AF3D348" w:rsidR="1BDD9486" w:rsidRDefault="1BDD9486" w:rsidP="13C70224">
            <w:pPr>
              <w:spacing w:after="0" w:line="276" w:lineRule="auto"/>
              <w:jc w:val="both"/>
              <w:rPr>
                <w:rFonts w:eastAsia="Arial" w:cs="Arial"/>
                <w:sz w:val="16"/>
                <w:szCs w:val="16"/>
              </w:rPr>
            </w:pPr>
          </w:p>
        </w:tc>
        <w:tc>
          <w:tcPr>
            <w:tcW w:w="1350" w:type="dxa"/>
            <w:vAlign w:val="center"/>
          </w:tcPr>
          <w:p w14:paraId="683002A1" w14:textId="7653889F" w:rsidR="1BDD9486" w:rsidRDefault="1BDD9486" w:rsidP="13C70224">
            <w:pPr>
              <w:spacing w:after="0" w:line="276" w:lineRule="auto"/>
              <w:jc w:val="both"/>
              <w:rPr>
                <w:rFonts w:eastAsia="Arial" w:cs="Arial"/>
                <w:sz w:val="16"/>
                <w:szCs w:val="16"/>
              </w:rPr>
            </w:pPr>
          </w:p>
        </w:tc>
      </w:tr>
      <w:tr w:rsidR="1BDD9486" w14:paraId="6B5B8CDA" w14:textId="77777777" w:rsidTr="13C70224">
        <w:trPr>
          <w:trHeight w:val="300"/>
        </w:trPr>
        <w:tc>
          <w:tcPr>
            <w:tcW w:w="9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F01387" w14:textId="209F17E6"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t>Parcelle</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4C00D8" w14:textId="087BAD48"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PtiVillers</w:t>
            </w:r>
            <w:proofErr w:type="spellEnd"/>
          </w:p>
        </w:tc>
        <w:tc>
          <w:tcPr>
            <w:tcW w:w="13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7DA0F9" w14:textId="0F73BF02"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GrdSeumoy_D</w:t>
            </w:r>
            <w:proofErr w:type="spellEnd"/>
          </w:p>
        </w:tc>
        <w:tc>
          <w:tcPr>
            <w:tcW w:w="12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A856C1" w14:textId="19628164"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GrdVillers_G</w:t>
            </w:r>
            <w:proofErr w:type="spellEnd"/>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911631" w14:textId="69DD540E" w:rsidR="1BDD9486" w:rsidRDefault="1BDD9486" w:rsidP="13C70224">
            <w:pPr>
              <w:spacing w:after="0" w:line="276" w:lineRule="auto"/>
              <w:jc w:val="both"/>
              <w:rPr>
                <w:rFonts w:eastAsia="Arial" w:cs="Arial"/>
                <w:sz w:val="16"/>
                <w:szCs w:val="16"/>
              </w:rPr>
            </w:pPr>
            <w:proofErr w:type="spellStart"/>
            <w:r w:rsidRPr="13C70224">
              <w:rPr>
                <w:rFonts w:eastAsia="Arial" w:cs="Arial"/>
                <w:sz w:val="16"/>
                <w:szCs w:val="16"/>
              </w:rPr>
              <w:t>Nosipont</w:t>
            </w:r>
            <w:proofErr w:type="spellEnd"/>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889973D" w14:textId="16ECCA61" w:rsidR="1BDD9486" w:rsidRDefault="1BDD9486" w:rsidP="13C70224">
            <w:pPr>
              <w:spacing w:after="0" w:line="276" w:lineRule="auto"/>
              <w:jc w:val="both"/>
              <w:rPr>
                <w:rFonts w:eastAsia="Arial" w:cs="Arial"/>
                <w:sz w:val="16"/>
                <w:szCs w:val="16"/>
              </w:rPr>
            </w:pPr>
            <w:r w:rsidRPr="13C70224">
              <w:rPr>
                <w:rFonts w:eastAsia="Arial" w:cs="Arial"/>
                <w:sz w:val="16"/>
                <w:szCs w:val="16"/>
              </w:rPr>
              <w:t>Pivot</w:t>
            </w:r>
          </w:p>
        </w:tc>
        <w:tc>
          <w:tcPr>
            <w:tcW w:w="1350" w:type="dxa"/>
            <w:vAlign w:val="center"/>
          </w:tcPr>
          <w:p w14:paraId="6F1B647A" w14:textId="5FB0CDEE" w:rsidR="1BDD9486" w:rsidRDefault="1BDD9486" w:rsidP="13C70224">
            <w:pPr>
              <w:spacing w:after="0" w:line="276" w:lineRule="auto"/>
              <w:jc w:val="both"/>
              <w:rPr>
                <w:rFonts w:eastAsia="Arial" w:cs="Arial"/>
                <w:sz w:val="16"/>
                <w:szCs w:val="16"/>
              </w:rPr>
            </w:pPr>
          </w:p>
        </w:tc>
      </w:tr>
      <w:tr w:rsidR="1BDD9486" w14:paraId="1083BCDA" w14:textId="77777777" w:rsidTr="13C70224">
        <w:trPr>
          <w:trHeight w:val="300"/>
        </w:trPr>
        <w:tc>
          <w:tcPr>
            <w:tcW w:w="9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C76E1E" w14:textId="28F638AD" w:rsidR="1BDD9486" w:rsidRDefault="1BDD9486" w:rsidP="13C70224">
            <w:pPr>
              <w:spacing w:after="0" w:line="276" w:lineRule="auto"/>
              <w:jc w:val="both"/>
              <w:rPr>
                <w:rFonts w:eastAsia="Arial" w:cs="Arial"/>
                <w:b/>
                <w:bCs/>
                <w:sz w:val="16"/>
                <w:szCs w:val="16"/>
              </w:rPr>
            </w:pPr>
            <w:r w:rsidRPr="13C70224">
              <w:rPr>
                <w:rFonts w:eastAsia="Arial" w:cs="Arial"/>
                <w:b/>
                <w:bCs/>
                <w:sz w:val="16"/>
                <w:szCs w:val="16"/>
              </w:rPr>
              <w:lastRenderedPageBreak/>
              <w:t>Date</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862DDF" w14:textId="120AAC22" w:rsidR="1BDD9486" w:rsidRDefault="1BDD9486" w:rsidP="13C70224">
            <w:pPr>
              <w:spacing w:after="0" w:line="276" w:lineRule="auto"/>
              <w:jc w:val="both"/>
              <w:rPr>
                <w:rFonts w:eastAsia="Arial" w:cs="Arial"/>
                <w:sz w:val="16"/>
                <w:szCs w:val="16"/>
              </w:rPr>
            </w:pPr>
            <w:r w:rsidRPr="13C70224">
              <w:rPr>
                <w:rFonts w:eastAsia="Arial" w:cs="Arial"/>
                <w:sz w:val="16"/>
                <w:szCs w:val="16"/>
              </w:rPr>
              <w:t>05/2024</w:t>
            </w:r>
          </w:p>
        </w:tc>
        <w:tc>
          <w:tcPr>
            <w:tcW w:w="133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3FE57B" w14:textId="62A717B7" w:rsidR="1BDD9486" w:rsidRDefault="1BDD9486" w:rsidP="13C70224">
            <w:pPr>
              <w:spacing w:after="0" w:line="276" w:lineRule="auto"/>
              <w:jc w:val="both"/>
              <w:rPr>
                <w:rFonts w:eastAsia="Arial" w:cs="Arial"/>
                <w:sz w:val="16"/>
                <w:szCs w:val="16"/>
              </w:rPr>
            </w:pPr>
            <w:r w:rsidRPr="13C70224">
              <w:rPr>
                <w:rFonts w:eastAsia="Arial" w:cs="Arial"/>
                <w:sz w:val="16"/>
                <w:szCs w:val="16"/>
              </w:rPr>
              <w:t>08/2024</w:t>
            </w:r>
          </w:p>
        </w:tc>
        <w:tc>
          <w:tcPr>
            <w:tcW w:w="12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89569C2" w14:textId="55A281F9" w:rsidR="1BDD9486" w:rsidRDefault="1BDD9486" w:rsidP="13C70224">
            <w:pPr>
              <w:spacing w:after="0" w:line="276" w:lineRule="auto"/>
              <w:jc w:val="both"/>
              <w:rPr>
                <w:rFonts w:eastAsia="Arial" w:cs="Arial"/>
                <w:sz w:val="16"/>
                <w:szCs w:val="16"/>
              </w:rPr>
            </w:pPr>
            <w:r w:rsidRPr="13C70224">
              <w:rPr>
                <w:rFonts w:eastAsia="Arial" w:cs="Arial"/>
                <w:sz w:val="16"/>
                <w:szCs w:val="16"/>
              </w:rPr>
              <w:t>08/2024</w:t>
            </w:r>
          </w:p>
        </w:tc>
        <w:tc>
          <w:tcPr>
            <w:tcW w:w="93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321CF4" w14:textId="675B396F" w:rsidR="1BDD9486" w:rsidRDefault="1BDD9486" w:rsidP="13C70224">
            <w:pPr>
              <w:spacing w:after="0" w:line="276" w:lineRule="auto"/>
              <w:jc w:val="both"/>
              <w:rPr>
                <w:rFonts w:eastAsia="Arial" w:cs="Arial"/>
                <w:sz w:val="16"/>
                <w:szCs w:val="16"/>
              </w:rPr>
            </w:pPr>
            <w:r w:rsidRPr="13C70224">
              <w:rPr>
                <w:rFonts w:eastAsia="Arial" w:cs="Arial"/>
                <w:sz w:val="16"/>
                <w:szCs w:val="16"/>
              </w:rPr>
              <w:t>08/2024</w:t>
            </w:r>
          </w:p>
        </w:tc>
        <w:tc>
          <w:tcPr>
            <w:tcW w:w="12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0D123F" w14:textId="79775DC3" w:rsidR="1BDD9486" w:rsidRDefault="1BDD9486" w:rsidP="13C70224">
            <w:pPr>
              <w:spacing w:after="0" w:line="276" w:lineRule="auto"/>
              <w:jc w:val="both"/>
              <w:rPr>
                <w:rFonts w:eastAsia="Arial" w:cs="Arial"/>
                <w:sz w:val="16"/>
                <w:szCs w:val="16"/>
              </w:rPr>
            </w:pPr>
            <w:r w:rsidRPr="13C70224">
              <w:rPr>
                <w:rFonts w:eastAsia="Arial" w:cs="Arial"/>
                <w:sz w:val="16"/>
                <w:szCs w:val="16"/>
              </w:rPr>
              <w:t>08/2024</w:t>
            </w:r>
          </w:p>
        </w:tc>
        <w:tc>
          <w:tcPr>
            <w:tcW w:w="1350" w:type="dxa"/>
            <w:vAlign w:val="center"/>
          </w:tcPr>
          <w:p w14:paraId="7BE49AF9" w14:textId="59C83406" w:rsidR="1BDD9486" w:rsidRDefault="1BDD9486" w:rsidP="13C70224">
            <w:pPr>
              <w:spacing w:after="0" w:line="276" w:lineRule="auto"/>
              <w:jc w:val="both"/>
              <w:rPr>
                <w:rFonts w:eastAsia="Arial" w:cs="Arial"/>
                <w:sz w:val="16"/>
                <w:szCs w:val="16"/>
              </w:rPr>
            </w:pPr>
          </w:p>
        </w:tc>
      </w:tr>
    </w:tbl>
    <w:p w14:paraId="46130527" w14:textId="47250068" w:rsidR="5B9BDBD6" w:rsidRDefault="5B9BDBD6" w:rsidP="13C70224">
      <w:pPr>
        <w:spacing w:line="276" w:lineRule="auto"/>
        <w:jc w:val="both"/>
        <w:rPr>
          <w:rFonts w:eastAsia="Arial" w:cs="Arial"/>
        </w:rPr>
      </w:pPr>
    </w:p>
    <w:p w14:paraId="2739CB59" w14:textId="3C845B54" w:rsidR="5B9BDBD6" w:rsidRDefault="4D0B52CA" w:rsidP="13C70224">
      <w:pPr>
        <w:pStyle w:val="Titre2"/>
        <w:spacing w:line="276" w:lineRule="auto"/>
        <w:rPr>
          <w:rFonts w:ascii="Arial" w:eastAsia="Arial" w:hAnsi="Arial" w:cs="Arial"/>
        </w:rPr>
      </w:pPr>
      <w:bookmarkStart w:id="6" w:name="_Toc1475757660"/>
      <w:r w:rsidRPr="3BFF6491">
        <w:rPr>
          <w:rFonts w:ascii="Arial" w:eastAsia="Arial" w:hAnsi="Arial" w:cs="Arial"/>
        </w:rPr>
        <w:t>Sujet 1 : Carbone organique et taux d’argile</w:t>
      </w:r>
      <w:bookmarkEnd w:id="6"/>
    </w:p>
    <w:p w14:paraId="5FF5146E" w14:textId="26DB47C1" w:rsidR="5B9BDBD6" w:rsidRDefault="1251018C" w:rsidP="13C70224">
      <w:pPr>
        <w:pStyle w:val="Titre3"/>
        <w:spacing w:line="276" w:lineRule="auto"/>
        <w:rPr>
          <w:rFonts w:eastAsia="Arial" w:cs="Arial"/>
          <w:sz w:val="24"/>
          <w:szCs w:val="24"/>
        </w:rPr>
      </w:pPr>
      <w:r w:rsidRPr="13C70224">
        <w:rPr>
          <w:rFonts w:eastAsia="Arial" w:cs="Arial"/>
        </w:rPr>
        <w:t>Données mesurées</w:t>
      </w:r>
    </w:p>
    <w:p w14:paraId="14B396F3" w14:textId="0654AAD0" w:rsidR="5B9BDBD6" w:rsidRDefault="1251018C" w:rsidP="13C70224">
      <w:pPr>
        <w:pStyle w:val="Titre4"/>
        <w:spacing w:line="276" w:lineRule="auto"/>
        <w:rPr>
          <w:rFonts w:eastAsia="Arial" w:cs="Arial"/>
        </w:rPr>
      </w:pPr>
      <w:r w:rsidRPr="13C70224">
        <w:rPr>
          <w:rFonts w:eastAsia="Arial" w:cs="Arial"/>
        </w:rPr>
        <w:t>Référence</w:t>
      </w:r>
    </w:p>
    <w:p w14:paraId="63A2062F" w14:textId="3A502128" w:rsidR="5B9BDBD6" w:rsidRDefault="1251018C" w:rsidP="13C70224">
      <w:pPr>
        <w:spacing w:line="276" w:lineRule="auto"/>
        <w:jc w:val="both"/>
        <w:rPr>
          <w:rFonts w:eastAsia="Arial" w:cs="Arial"/>
        </w:rPr>
      </w:pPr>
      <w:r w:rsidRPr="13C70224">
        <w:rPr>
          <w:rFonts w:eastAsia="Arial" w:cs="Arial"/>
          <w:b/>
          <w:bCs/>
        </w:rPr>
        <w:t xml:space="preserve">Carbone : </w:t>
      </w:r>
      <w:r w:rsidRPr="13C70224">
        <w:rPr>
          <w:rFonts w:eastAsia="Arial" w:cs="Arial"/>
        </w:rPr>
        <w:t xml:space="preserve">Les mesures de carbone organique ont été réalisées au laboratoire BW selon les méthodes EN 15936 (Méthode B), CMA/2/II/A.7 et BOC &amp; BAM (méthode dérivée </w:t>
      </w:r>
      <w:proofErr w:type="gramStart"/>
      <w:r w:rsidRPr="13C70224">
        <w:rPr>
          <w:rFonts w:eastAsia="Arial" w:cs="Arial"/>
        </w:rPr>
        <w:t>de EN</w:t>
      </w:r>
      <w:proofErr w:type="gramEnd"/>
      <w:r w:rsidRPr="13C70224">
        <w:rPr>
          <w:rFonts w:eastAsia="Arial" w:cs="Arial"/>
        </w:rPr>
        <w:t xml:space="preserve"> 15936). Les mesures de carbone organique ont été réalisée au laboratoire BDB selon la méthode PTCS17, dérivée de la NF EN 15936.</w:t>
      </w:r>
    </w:p>
    <w:p w14:paraId="69E7BD3D" w14:textId="448549F1" w:rsidR="5B9BDBD6" w:rsidRDefault="1251018C" w:rsidP="13C70224">
      <w:pPr>
        <w:spacing w:line="276" w:lineRule="auto"/>
        <w:jc w:val="both"/>
        <w:rPr>
          <w:rFonts w:eastAsia="Arial" w:cs="Arial"/>
          <w:b/>
          <w:bCs/>
        </w:rPr>
      </w:pPr>
      <w:r w:rsidRPr="13C70224">
        <w:rPr>
          <w:rFonts w:eastAsia="Arial" w:cs="Arial"/>
          <w:b/>
          <w:bCs/>
        </w:rPr>
        <w:t xml:space="preserve">Argile : </w:t>
      </w:r>
      <w:r w:rsidRPr="13C70224">
        <w:rPr>
          <w:rFonts w:eastAsia="Arial" w:cs="Arial"/>
        </w:rPr>
        <w:t>Les teneurs en argile ont été déterminées au laboratoire BW selon la méthode PTPS1 : Granulométrie, dérivée de la norme NF X 31-107.</w:t>
      </w:r>
    </w:p>
    <w:p w14:paraId="28CEF354" w14:textId="07353C2D" w:rsidR="5B9BDBD6" w:rsidRDefault="5B9BDBD6" w:rsidP="13C70224">
      <w:pPr>
        <w:spacing w:line="276" w:lineRule="auto"/>
        <w:jc w:val="both"/>
        <w:rPr>
          <w:rFonts w:eastAsia="Arial" w:cs="Arial"/>
          <w:b/>
          <w:bCs/>
        </w:rPr>
      </w:pPr>
    </w:p>
    <w:p w14:paraId="53856D7D" w14:textId="48B30B71" w:rsidR="5B9BDBD6" w:rsidRDefault="1251018C" w:rsidP="13C70224">
      <w:pPr>
        <w:pStyle w:val="Titre4"/>
        <w:spacing w:line="276" w:lineRule="auto"/>
        <w:rPr>
          <w:rFonts w:eastAsia="Arial" w:cs="Arial"/>
        </w:rPr>
      </w:pPr>
      <w:r w:rsidRPr="13C70224">
        <w:rPr>
          <w:rFonts w:eastAsia="Arial" w:cs="Arial"/>
        </w:rPr>
        <w:t>Veris MSP3</w:t>
      </w:r>
    </w:p>
    <w:p w14:paraId="6D6A79B1" w14:textId="161D13A7" w:rsidR="5B9BDBD6" w:rsidRDefault="350032DA" w:rsidP="13C70224">
      <w:pPr>
        <w:spacing w:line="276" w:lineRule="auto"/>
        <w:jc w:val="both"/>
        <w:rPr>
          <w:rFonts w:eastAsia="Arial" w:cs="Arial"/>
        </w:rPr>
      </w:pPr>
      <w:r w:rsidRPr="13C70224">
        <w:rPr>
          <w:rFonts w:eastAsia="Arial" w:cs="Arial"/>
        </w:rPr>
        <w:t xml:space="preserve">Quatorze cartes </w:t>
      </w:r>
      <w:r w:rsidR="6F6BCF02" w:rsidRPr="13C70224">
        <w:rPr>
          <w:rFonts w:eastAsia="Arial" w:cs="Arial"/>
        </w:rPr>
        <w:t>sur le</w:t>
      </w:r>
      <w:r w:rsidRPr="13C70224">
        <w:rPr>
          <w:rFonts w:eastAsia="Arial" w:cs="Arial"/>
        </w:rPr>
        <w:t xml:space="preserve"> pourcentage de carbone organique ont été fournies par la solution Veris MSP3 et </w:t>
      </w:r>
      <w:r w:rsidR="3F45C41F" w:rsidRPr="13C70224">
        <w:rPr>
          <w:rFonts w:eastAsia="Arial" w:cs="Arial"/>
        </w:rPr>
        <w:t>un exemple de carte est</w:t>
      </w:r>
      <w:r w:rsidRPr="13C70224">
        <w:rPr>
          <w:rFonts w:eastAsia="Arial" w:cs="Arial"/>
        </w:rPr>
        <w:t xml:space="preserve"> présenté ci-après (</w:t>
      </w:r>
      <w:r w:rsidR="1C7FE1F2" w:rsidRPr="13C70224">
        <w:rPr>
          <w:rFonts w:eastAsia="Arial" w:cs="Arial"/>
        </w:rPr>
        <w:t>figure 2</w:t>
      </w:r>
      <w:r w:rsidRPr="13C70224">
        <w:rPr>
          <w:rFonts w:eastAsia="Arial" w:cs="Arial"/>
        </w:rPr>
        <w:t>).</w:t>
      </w:r>
    </w:p>
    <w:p w14:paraId="29768868" w14:textId="40565061" w:rsidR="5B9BDBD6" w:rsidRDefault="1251018C" w:rsidP="13C70224">
      <w:pPr>
        <w:keepNext/>
        <w:spacing w:line="276" w:lineRule="auto"/>
        <w:jc w:val="both"/>
        <w:rPr>
          <w:rFonts w:eastAsia="Arial" w:cs="Arial"/>
        </w:rPr>
      </w:pPr>
      <w:r>
        <w:rPr>
          <w:noProof/>
        </w:rPr>
        <w:drawing>
          <wp:inline distT="0" distB="0" distL="0" distR="0" wp14:anchorId="5CE8FFC3" wp14:editId="39806B60">
            <wp:extent cx="5724525" cy="3200400"/>
            <wp:effectExtent l="0" t="0" r="9525" b="0"/>
            <wp:docPr id="4609598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434666"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5724525" cy="3200400"/>
                    </a:xfrm>
                    <a:prstGeom prst="rect">
                      <a:avLst/>
                    </a:prstGeom>
                  </pic:spPr>
                </pic:pic>
              </a:graphicData>
            </a:graphic>
          </wp:inline>
        </w:drawing>
      </w:r>
    </w:p>
    <w:p w14:paraId="693496DB" w14:textId="6C688E9F" w:rsidR="5B9BDBD6" w:rsidRDefault="350032DA" w:rsidP="13C70224">
      <w:pPr>
        <w:pStyle w:val="Lgende"/>
        <w:spacing w:line="276" w:lineRule="auto"/>
        <w:jc w:val="both"/>
        <w:rPr>
          <w:rFonts w:eastAsia="Arial" w:cs="Arial"/>
        </w:rPr>
      </w:pPr>
      <w:r w:rsidRPr="3BFF6491">
        <w:rPr>
          <w:rFonts w:eastAsia="Arial" w:cs="Arial"/>
        </w:rPr>
        <w:t xml:space="preserve">Figure </w:t>
      </w:r>
      <w:r w:rsidR="34A1F3C8" w:rsidRPr="3BFF6491">
        <w:rPr>
          <w:rFonts w:eastAsia="Arial" w:cs="Arial"/>
        </w:rPr>
        <w:t>2</w:t>
      </w:r>
      <w:r w:rsidRPr="3BFF6491">
        <w:rPr>
          <w:rFonts w:eastAsia="Arial" w:cs="Arial"/>
        </w:rPr>
        <w:t xml:space="preserve">. Carte du % de carbone organique fournie par la solution Veris MSP3 pour la parcelle </w:t>
      </w:r>
      <w:proofErr w:type="spellStart"/>
      <w:r w:rsidRPr="3BFF6491">
        <w:rPr>
          <w:rFonts w:eastAsia="Arial" w:cs="Arial"/>
        </w:rPr>
        <w:t>ThAuto</w:t>
      </w:r>
      <w:proofErr w:type="spellEnd"/>
      <w:r w:rsidRPr="3BFF6491">
        <w:rPr>
          <w:rFonts w:eastAsia="Arial" w:cs="Arial"/>
        </w:rPr>
        <w:t xml:space="preserve"> (20.37 ha).</w:t>
      </w:r>
    </w:p>
    <w:p w14:paraId="6623BAE4" w14:textId="035EC92D" w:rsidR="392BB96A" w:rsidRDefault="392BB96A" w:rsidP="13C70224">
      <w:pPr>
        <w:spacing w:line="276" w:lineRule="auto"/>
        <w:jc w:val="both"/>
        <w:rPr>
          <w:rFonts w:eastAsia="Arial" w:cs="Arial"/>
        </w:rPr>
      </w:pPr>
    </w:p>
    <w:p w14:paraId="0B59337A" w14:textId="090785F0" w:rsidR="5B9BDBD6" w:rsidRDefault="350032DA" w:rsidP="13C70224">
      <w:pPr>
        <w:spacing w:line="276" w:lineRule="auto"/>
        <w:jc w:val="both"/>
        <w:rPr>
          <w:rFonts w:eastAsia="Arial" w:cs="Arial"/>
        </w:rPr>
      </w:pPr>
      <w:r w:rsidRPr="13C70224">
        <w:rPr>
          <w:rFonts w:eastAsia="Arial" w:cs="Arial"/>
        </w:rPr>
        <w:t xml:space="preserve">Les cartes de conductivité électrique de 0 à 30cm ont été retenue comme indicateur de la texture des sols et en particulier du taux d’argile. Quatorze cartes de conductivité électrique du sol ont été fournies par la solution Veris MSP3 et </w:t>
      </w:r>
      <w:r w:rsidR="41CE2FC8" w:rsidRPr="13C70224">
        <w:rPr>
          <w:rFonts w:eastAsia="Arial" w:cs="Arial"/>
        </w:rPr>
        <w:t>un exemple de carte est présenté ci-après</w:t>
      </w:r>
      <w:r w:rsidRPr="13C70224">
        <w:rPr>
          <w:rFonts w:eastAsia="Arial" w:cs="Arial"/>
        </w:rPr>
        <w:t xml:space="preserve"> (</w:t>
      </w:r>
      <w:r w:rsidR="52B6D60D" w:rsidRPr="13C70224">
        <w:rPr>
          <w:rFonts w:eastAsia="Arial" w:cs="Arial"/>
        </w:rPr>
        <w:t>figure 3</w:t>
      </w:r>
      <w:r w:rsidRPr="13C70224">
        <w:rPr>
          <w:rFonts w:eastAsia="Arial" w:cs="Arial"/>
        </w:rPr>
        <w:t>).</w:t>
      </w:r>
    </w:p>
    <w:p w14:paraId="221081E0" w14:textId="77777777" w:rsidR="5B9BDBD6" w:rsidRDefault="5B9BDBD6" w:rsidP="13C70224">
      <w:pPr>
        <w:spacing w:line="276" w:lineRule="auto"/>
        <w:jc w:val="both"/>
        <w:rPr>
          <w:rFonts w:eastAsia="Arial" w:cs="Arial"/>
        </w:rPr>
      </w:pPr>
    </w:p>
    <w:p w14:paraId="059780B1" w14:textId="0B6BBA91" w:rsidR="5B9BDBD6" w:rsidRDefault="1251018C" w:rsidP="13C70224">
      <w:pPr>
        <w:spacing w:line="276" w:lineRule="auto"/>
        <w:jc w:val="both"/>
        <w:rPr>
          <w:rFonts w:eastAsia="Arial" w:cs="Arial"/>
        </w:rPr>
      </w:pPr>
      <w:r>
        <w:rPr>
          <w:noProof/>
        </w:rPr>
        <w:lastRenderedPageBreak/>
        <w:drawing>
          <wp:inline distT="0" distB="0" distL="0" distR="0" wp14:anchorId="7A486112" wp14:editId="46FF01B7">
            <wp:extent cx="5724525" cy="2800350"/>
            <wp:effectExtent l="0" t="0" r="9525" b="0"/>
            <wp:docPr id="75259027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922738"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5724525" cy="2800350"/>
                    </a:xfrm>
                    <a:prstGeom prst="rect">
                      <a:avLst/>
                    </a:prstGeom>
                  </pic:spPr>
                </pic:pic>
              </a:graphicData>
            </a:graphic>
          </wp:inline>
        </w:drawing>
      </w:r>
    </w:p>
    <w:p w14:paraId="7655DA7D" w14:textId="49C260BE" w:rsidR="5B9BDBD6" w:rsidRDefault="350032DA" w:rsidP="13C70224">
      <w:pPr>
        <w:pStyle w:val="Lgende"/>
        <w:spacing w:line="276" w:lineRule="auto"/>
        <w:jc w:val="both"/>
        <w:rPr>
          <w:rFonts w:eastAsia="Arial" w:cs="Arial"/>
        </w:rPr>
      </w:pPr>
      <w:r w:rsidRPr="3BFF6491">
        <w:rPr>
          <w:rFonts w:eastAsia="Arial" w:cs="Arial"/>
        </w:rPr>
        <w:t xml:space="preserve">Figure </w:t>
      </w:r>
      <w:r w:rsidR="6F86F631" w:rsidRPr="3BFF6491">
        <w:rPr>
          <w:rFonts w:eastAsia="Arial" w:cs="Arial"/>
        </w:rPr>
        <w:t>3</w:t>
      </w:r>
      <w:r w:rsidRPr="3BFF6491">
        <w:rPr>
          <w:rFonts w:eastAsia="Arial" w:cs="Arial"/>
        </w:rPr>
        <w:t xml:space="preserve">. Cartes de conductivité électrique du sol de 0 à 30cm (carte de gauche) et de 0 à 90cm (carte de droite) fournies par la solution Veris MSP3 pour la parcelle </w:t>
      </w:r>
      <w:proofErr w:type="spellStart"/>
      <w:r w:rsidRPr="3BFF6491">
        <w:rPr>
          <w:rFonts w:eastAsia="Arial" w:cs="Arial"/>
        </w:rPr>
        <w:t>ThAuto</w:t>
      </w:r>
      <w:proofErr w:type="spellEnd"/>
      <w:r w:rsidRPr="3BFF6491">
        <w:rPr>
          <w:rFonts w:eastAsia="Arial" w:cs="Arial"/>
        </w:rPr>
        <w:t xml:space="preserve"> (20.37 ha).</w:t>
      </w:r>
    </w:p>
    <w:p w14:paraId="5A58F419" w14:textId="69693731" w:rsidR="5B9BDBD6" w:rsidRDefault="1251018C" w:rsidP="13C70224">
      <w:pPr>
        <w:spacing w:line="276" w:lineRule="auto"/>
        <w:jc w:val="both"/>
        <w:rPr>
          <w:rFonts w:eastAsia="Arial" w:cs="Arial"/>
        </w:rPr>
      </w:pPr>
      <w:r w:rsidRPr="13C70224">
        <w:rPr>
          <w:rFonts w:eastAsia="Arial" w:cs="Arial"/>
        </w:rPr>
        <w:t xml:space="preserve">Ces cartes ont été mises à disposition du projet via le site </w:t>
      </w:r>
      <w:hyperlink r:id="rId13">
        <w:r w:rsidRPr="13C70224">
          <w:rPr>
            <w:rStyle w:val="Lienhypertexte"/>
            <w:rFonts w:eastAsia="Arial" w:cs="Arial"/>
          </w:rPr>
          <w:t>https://www.cartedemodulation.be</w:t>
        </w:r>
      </w:hyperlink>
      <w:r w:rsidRPr="13C70224">
        <w:rPr>
          <w:rFonts w:eastAsia="Arial" w:cs="Arial"/>
        </w:rPr>
        <w:t xml:space="preserve"> (CROPMAP), à la demande du CRA-W, dans le cadre d’un abonnement souscrit en complément de la solution.</w:t>
      </w:r>
    </w:p>
    <w:p w14:paraId="68C3F99B" w14:textId="1ED21859" w:rsidR="5B9BDBD6" w:rsidRDefault="5B9BDBD6" w:rsidP="13C70224">
      <w:pPr>
        <w:spacing w:line="276" w:lineRule="auto"/>
        <w:jc w:val="both"/>
        <w:rPr>
          <w:rFonts w:eastAsia="Arial" w:cs="Arial"/>
        </w:rPr>
      </w:pPr>
    </w:p>
    <w:p w14:paraId="3D74D22D" w14:textId="4209467C" w:rsidR="5B9BDBD6" w:rsidRDefault="1251018C" w:rsidP="13C70224">
      <w:pPr>
        <w:pStyle w:val="Titre4"/>
        <w:spacing w:line="276" w:lineRule="auto"/>
        <w:rPr>
          <w:rFonts w:eastAsia="Arial" w:cs="Arial"/>
        </w:rPr>
      </w:pPr>
      <w:r w:rsidRPr="13C70224">
        <w:rPr>
          <w:rFonts w:eastAsia="Arial" w:cs="Arial"/>
        </w:rPr>
        <w:t>InterraScan</w:t>
      </w:r>
    </w:p>
    <w:p w14:paraId="38261C9F" w14:textId="2C72DC49" w:rsidR="5B9BDBD6" w:rsidRDefault="350032DA" w:rsidP="13C70224">
      <w:pPr>
        <w:spacing w:line="276" w:lineRule="auto"/>
        <w:jc w:val="both"/>
        <w:rPr>
          <w:rFonts w:eastAsia="Arial" w:cs="Arial"/>
        </w:rPr>
      </w:pPr>
      <w:r w:rsidRPr="13C70224">
        <w:rPr>
          <w:rFonts w:eastAsia="Arial" w:cs="Arial"/>
        </w:rPr>
        <w:t xml:space="preserve">Onze cartes du pourcentage de carbone organique, du taux d’argile et du rapport C/argile ont été fournies par la solution InterraScan et </w:t>
      </w:r>
      <w:r w:rsidR="6A8646A9" w:rsidRPr="13C70224">
        <w:rPr>
          <w:rFonts w:eastAsia="Arial" w:cs="Arial"/>
        </w:rPr>
        <w:t>un exemple de carte est présenté ci-après</w:t>
      </w:r>
      <w:r w:rsidRPr="13C70224">
        <w:rPr>
          <w:rFonts w:eastAsia="Arial" w:cs="Arial"/>
        </w:rPr>
        <w:t xml:space="preserve"> (</w:t>
      </w:r>
      <w:r w:rsidR="1281DEFC" w:rsidRPr="13C70224">
        <w:rPr>
          <w:rFonts w:eastAsia="Arial" w:cs="Arial"/>
        </w:rPr>
        <w:t>figure 4</w:t>
      </w:r>
      <w:r w:rsidRPr="13C70224">
        <w:rPr>
          <w:rFonts w:eastAsia="Arial" w:cs="Arial"/>
        </w:rPr>
        <w:t xml:space="preserve">). </w:t>
      </w:r>
    </w:p>
    <w:p w14:paraId="72403A8E" w14:textId="40884225" w:rsidR="5B9BDBD6" w:rsidRDefault="1251018C" w:rsidP="13C70224">
      <w:pPr>
        <w:keepNext/>
        <w:spacing w:line="276" w:lineRule="auto"/>
        <w:jc w:val="both"/>
        <w:rPr>
          <w:rFonts w:eastAsia="Arial" w:cs="Arial"/>
        </w:rPr>
      </w:pPr>
      <w:r>
        <w:rPr>
          <w:noProof/>
        </w:rPr>
        <w:drawing>
          <wp:inline distT="0" distB="0" distL="0" distR="0" wp14:anchorId="2AED1D71" wp14:editId="77EFCC6D">
            <wp:extent cx="5696724" cy="1905004"/>
            <wp:effectExtent l="0" t="0" r="0" b="0"/>
            <wp:docPr id="194712280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02804"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5696724" cy="1905004"/>
                    </a:xfrm>
                    <a:prstGeom prst="rect">
                      <a:avLst/>
                    </a:prstGeom>
                  </pic:spPr>
                </pic:pic>
              </a:graphicData>
            </a:graphic>
          </wp:inline>
        </w:drawing>
      </w:r>
    </w:p>
    <w:p w14:paraId="1A21DE98" w14:textId="559A2B76" w:rsidR="5B9BDBD6" w:rsidRDefault="350032DA" w:rsidP="13C70224">
      <w:pPr>
        <w:pStyle w:val="Lgende"/>
        <w:spacing w:line="276" w:lineRule="auto"/>
        <w:jc w:val="both"/>
        <w:rPr>
          <w:rFonts w:eastAsia="Arial" w:cs="Arial"/>
        </w:rPr>
      </w:pPr>
      <w:r w:rsidRPr="3BFF6491">
        <w:rPr>
          <w:rFonts w:eastAsia="Arial" w:cs="Arial"/>
        </w:rPr>
        <w:t xml:space="preserve">Figure </w:t>
      </w:r>
      <w:r w:rsidR="0674A525" w:rsidRPr="3BFF6491">
        <w:rPr>
          <w:rFonts w:eastAsia="Arial" w:cs="Arial"/>
        </w:rPr>
        <w:t>4</w:t>
      </w:r>
      <w:r w:rsidRPr="3BFF6491">
        <w:rPr>
          <w:rFonts w:eastAsia="Arial" w:cs="Arial"/>
        </w:rPr>
        <w:t xml:space="preserve">. Cartes </w:t>
      </w:r>
      <w:r w:rsidRPr="3BFF6491">
        <w:rPr>
          <w:rFonts w:eastAsia="Arial" w:cs="Arial"/>
          <w:color w:val="0E2740"/>
        </w:rPr>
        <w:t xml:space="preserve">du pourcentage de carbone organique (gauche) et du taux d’argile (droite) fournie par la solution </w:t>
      </w:r>
      <w:r w:rsidRPr="3BFF6491">
        <w:rPr>
          <w:rFonts w:eastAsia="Arial" w:cs="Arial"/>
        </w:rPr>
        <w:t xml:space="preserve">InterraScan pour la parcelle </w:t>
      </w:r>
      <w:proofErr w:type="spellStart"/>
      <w:r w:rsidRPr="3BFF6491">
        <w:rPr>
          <w:rFonts w:eastAsia="Arial" w:cs="Arial"/>
        </w:rPr>
        <w:t>ThAuto</w:t>
      </w:r>
      <w:proofErr w:type="spellEnd"/>
      <w:r w:rsidRPr="3BFF6491">
        <w:rPr>
          <w:rFonts w:eastAsia="Arial" w:cs="Arial"/>
        </w:rPr>
        <w:t xml:space="preserve"> (20.37 ha).</w:t>
      </w:r>
    </w:p>
    <w:p w14:paraId="0C4129BB" w14:textId="62A95995" w:rsidR="5B9BDBD6" w:rsidRDefault="1251018C" w:rsidP="13C70224">
      <w:pPr>
        <w:spacing w:line="276" w:lineRule="auto"/>
        <w:jc w:val="both"/>
        <w:rPr>
          <w:rFonts w:eastAsia="Arial" w:cs="Arial"/>
        </w:rPr>
      </w:pPr>
      <w:r w:rsidRPr="13C70224">
        <w:rPr>
          <w:rFonts w:eastAsia="Arial" w:cs="Arial"/>
        </w:rPr>
        <w:t xml:space="preserve">Ces cartes sont directement disponibles sur la plateforme </w:t>
      </w:r>
      <w:hyperlink r:id="rId15">
        <w:r w:rsidRPr="13C70224">
          <w:rPr>
            <w:rStyle w:val="Lienhypertexte"/>
            <w:rFonts w:eastAsia="Arial" w:cs="Arial"/>
          </w:rPr>
          <w:t>https://www.interrascan.com</w:t>
        </w:r>
      </w:hyperlink>
      <w:r w:rsidRPr="13C70224">
        <w:rPr>
          <w:rFonts w:eastAsia="Arial" w:cs="Arial"/>
        </w:rPr>
        <w:t>.</w:t>
      </w:r>
    </w:p>
    <w:p w14:paraId="5D49FAB3" w14:textId="08961DA7" w:rsidR="5B9BDBD6" w:rsidRDefault="5B9BDBD6" w:rsidP="13C70224">
      <w:pPr>
        <w:spacing w:line="276" w:lineRule="auto"/>
        <w:jc w:val="both"/>
        <w:rPr>
          <w:rFonts w:eastAsia="Arial" w:cs="Arial"/>
        </w:rPr>
      </w:pPr>
    </w:p>
    <w:p w14:paraId="166D7A37" w14:textId="13F38FD6" w:rsidR="5B9BDBD6" w:rsidRDefault="1251018C" w:rsidP="13C70224">
      <w:pPr>
        <w:pStyle w:val="Titre3"/>
        <w:spacing w:line="276" w:lineRule="auto"/>
        <w:rPr>
          <w:rFonts w:eastAsia="Arial" w:cs="Arial"/>
          <w:sz w:val="24"/>
          <w:szCs w:val="24"/>
        </w:rPr>
      </w:pPr>
      <w:r w:rsidRPr="13C70224">
        <w:rPr>
          <w:rFonts w:eastAsia="Arial" w:cs="Arial"/>
        </w:rPr>
        <w:t>Interprétations données mesurées</w:t>
      </w:r>
    </w:p>
    <w:p w14:paraId="3796B31E" w14:textId="0232C5D8" w:rsidR="5B9BDBD6" w:rsidRDefault="1251018C" w:rsidP="13C70224">
      <w:pPr>
        <w:pStyle w:val="Titre4"/>
        <w:spacing w:line="276" w:lineRule="auto"/>
        <w:rPr>
          <w:rFonts w:eastAsia="Arial" w:cs="Arial"/>
        </w:rPr>
      </w:pPr>
      <w:r w:rsidRPr="13C70224">
        <w:rPr>
          <w:rFonts w:eastAsia="Arial" w:cs="Arial"/>
        </w:rPr>
        <w:t>Référence</w:t>
      </w:r>
    </w:p>
    <w:p w14:paraId="770BAD7C" w14:textId="0DF52AC6" w:rsidR="64F1BB69" w:rsidRDefault="01449CAE" w:rsidP="13C70224">
      <w:pPr>
        <w:spacing w:line="276" w:lineRule="auto"/>
        <w:jc w:val="both"/>
        <w:rPr>
          <w:rFonts w:eastAsia="Arial" w:cs="Arial"/>
        </w:rPr>
      </w:pPr>
      <w:r w:rsidRPr="13C70224">
        <w:rPr>
          <w:rFonts w:eastAsia="Arial" w:cs="Arial"/>
        </w:rPr>
        <w:t>Le laboratoire BDB fourni une interprétation des pourcentages de carbone organique et considère ce taux comme favorable lorsque celui-ci se situe entre 1,2 % et 1,6 %.</w:t>
      </w:r>
    </w:p>
    <w:p w14:paraId="690576B0" w14:textId="74BBEB58" w:rsidR="5B9BDBD6" w:rsidRDefault="1669BDBE" w:rsidP="13C70224">
      <w:pPr>
        <w:spacing w:after="0" w:line="276" w:lineRule="auto"/>
        <w:jc w:val="both"/>
        <w:rPr>
          <w:rFonts w:eastAsia="Arial" w:cs="Arial"/>
        </w:rPr>
      </w:pPr>
      <w:r w:rsidRPr="13C70224">
        <w:rPr>
          <w:rFonts w:eastAsia="Arial" w:cs="Arial"/>
        </w:rPr>
        <w:lastRenderedPageBreak/>
        <w:t xml:space="preserve">La mesure agro-environnementale MAEC Sol – MR14 </w:t>
      </w:r>
      <w:r w:rsidRPr="3BFF6491">
        <w:rPr>
          <w:rFonts w:eastAsia="Arial" w:cs="Arial"/>
        </w:rPr>
        <w:t>(SPW, 2025)</w:t>
      </w:r>
      <w:r w:rsidRPr="13C70224">
        <w:rPr>
          <w:rFonts w:eastAsia="Arial" w:cs="Arial"/>
        </w:rPr>
        <w:t xml:space="preserve"> a également été utilisée pour interpréter les résultats issus des analyses de laboratoire. La MR14 se concentre sur le ratio entre le taux de carbone organique total (COT) et la teneur en argile (COT/argile) afin de classifier les parcelles selon trois situations : défavorable, de transition ou favorable.</w:t>
      </w:r>
      <w:r w:rsidR="2D5F226D" w:rsidRPr="13C70224">
        <w:rPr>
          <w:rFonts w:eastAsia="Arial" w:cs="Arial"/>
        </w:rPr>
        <w:t xml:space="preserve"> Pour les sols légers, un ratio COT/argile &lt; 14 % est considéré comme défavorable, 14–17 % comme en transition et &gt; 17 % comme favorable. Pour les sols moyens, les seuils correspondants sont &lt; 8 %, 8–10 % et &gt; 10 %, tandis que pour les sols lourds ils sont &lt; 6 %, 6–9 % et &gt; 9 %, respectivement pour les classes défavorables, de transition et favorable. L</w:t>
      </w:r>
      <w:r w:rsidR="0B46407B" w:rsidRPr="13C70224">
        <w:rPr>
          <w:rFonts w:eastAsia="Arial" w:cs="Arial"/>
        </w:rPr>
        <w:t>a classification des</w:t>
      </w:r>
      <w:r w:rsidR="2D5F226D" w:rsidRPr="13C70224">
        <w:rPr>
          <w:rFonts w:eastAsia="Arial" w:cs="Arial"/>
        </w:rPr>
        <w:t xml:space="preserve"> résultats des analyses de sol d</w:t>
      </w:r>
      <w:r w:rsidR="422A44CF" w:rsidRPr="13C70224">
        <w:rPr>
          <w:rFonts w:eastAsia="Arial" w:cs="Arial"/>
        </w:rPr>
        <w:t xml:space="preserve">e la première campagne d’échantillonnage </w:t>
      </w:r>
      <w:r w:rsidR="00538B77" w:rsidRPr="13C70224">
        <w:rPr>
          <w:rFonts w:eastAsia="Arial" w:cs="Arial"/>
        </w:rPr>
        <w:t>est</w:t>
      </w:r>
      <w:r w:rsidR="422A44CF" w:rsidRPr="13C70224">
        <w:rPr>
          <w:rFonts w:eastAsia="Arial" w:cs="Arial"/>
        </w:rPr>
        <w:t xml:space="preserve"> dis</w:t>
      </w:r>
      <w:r w:rsidR="63D111D6" w:rsidRPr="13C70224">
        <w:rPr>
          <w:rFonts w:eastAsia="Arial" w:cs="Arial"/>
        </w:rPr>
        <w:t xml:space="preserve">ponible dans la figure </w:t>
      </w:r>
      <w:r w:rsidR="679016F4" w:rsidRPr="13C70224">
        <w:rPr>
          <w:rFonts w:eastAsia="Arial" w:cs="Arial"/>
        </w:rPr>
        <w:t>(</w:t>
      </w:r>
      <w:r w:rsidR="060681DF" w:rsidRPr="13C70224">
        <w:rPr>
          <w:rFonts w:eastAsia="Arial" w:cs="Arial"/>
        </w:rPr>
        <w:t>figure 5</w:t>
      </w:r>
      <w:r w:rsidR="2FE9D0CB" w:rsidRPr="13C70224">
        <w:rPr>
          <w:rFonts w:eastAsia="Arial" w:cs="Arial"/>
        </w:rPr>
        <w:t>).</w:t>
      </w:r>
    </w:p>
    <w:p w14:paraId="232A384F" w14:textId="47D02EEA" w:rsidR="5B9BDBD6" w:rsidRDefault="5B9BDBD6" w:rsidP="13C70224">
      <w:pPr>
        <w:spacing w:line="276" w:lineRule="auto"/>
        <w:jc w:val="both"/>
        <w:rPr>
          <w:rFonts w:eastAsia="Arial" w:cs="Arial"/>
        </w:rPr>
      </w:pPr>
    </w:p>
    <w:p w14:paraId="29E1B307" w14:textId="621292A1" w:rsidR="5B9BDBD6" w:rsidRDefault="5B9BDBD6" w:rsidP="13C70224">
      <w:pPr>
        <w:spacing w:line="276" w:lineRule="auto"/>
        <w:jc w:val="both"/>
        <w:rPr>
          <w:rFonts w:eastAsia="Arial" w:cs="Arial"/>
        </w:rPr>
      </w:pPr>
    </w:p>
    <w:p w14:paraId="5662521D" w14:textId="2F712FB2" w:rsidR="5B9BDBD6" w:rsidRDefault="1251018C" w:rsidP="13C70224">
      <w:pPr>
        <w:spacing w:line="276" w:lineRule="auto"/>
        <w:jc w:val="both"/>
        <w:rPr>
          <w:rFonts w:eastAsia="Arial" w:cs="Arial"/>
        </w:rPr>
      </w:pPr>
      <w:r>
        <w:rPr>
          <w:noProof/>
        </w:rPr>
        <w:drawing>
          <wp:inline distT="0" distB="0" distL="0" distR="0" wp14:anchorId="2C4531C2" wp14:editId="3477EDEF">
            <wp:extent cx="5401067" cy="3038862"/>
            <wp:effectExtent l="0" t="0" r="0" b="9525"/>
            <wp:docPr id="132985671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62673"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5401067" cy="3038862"/>
                    </a:xfrm>
                    <a:prstGeom prst="rect">
                      <a:avLst/>
                    </a:prstGeom>
                  </pic:spPr>
                </pic:pic>
              </a:graphicData>
            </a:graphic>
          </wp:inline>
        </w:drawing>
      </w:r>
    </w:p>
    <w:p w14:paraId="77AFCF5B" w14:textId="300BEBCB" w:rsidR="5B9BDBD6" w:rsidRDefault="2FE9D0CB" w:rsidP="13C70224">
      <w:pPr>
        <w:pStyle w:val="Lgende"/>
        <w:spacing w:after="0" w:line="276" w:lineRule="auto"/>
        <w:jc w:val="both"/>
        <w:rPr>
          <w:rFonts w:eastAsia="Arial" w:cs="Arial"/>
          <w:color w:val="0E2740"/>
        </w:rPr>
      </w:pPr>
      <w:r w:rsidRPr="3BFF6491">
        <w:rPr>
          <w:rFonts w:eastAsia="Arial" w:cs="Arial"/>
        </w:rPr>
        <w:t xml:space="preserve">Figure </w:t>
      </w:r>
      <w:r w:rsidR="5A9C5815" w:rsidRPr="3BFF6491">
        <w:rPr>
          <w:rFonts w:eastAsia="Arial" w:cs="Arial"/>
        </w:rPr>
        <w:t>5</w:t>
      </w:r>
      <w:r w:rsidRPr="3BFF6491">
        <w:rPr>
          <w:rFonts w:eastAsia="Arial" w:cs="Arial"/>
        </w:rPr>
        <w:t>. Classification des analyses de sol selon le ratio C</w:t>
      </w:r>
      <w:r w:rsidR="7603BA8F" w:rsidRPr="3BFF6491">
        <w:rPr>
          <w:rFonts w:eastAsia="Arial" w:cs="Arial"/>
        </w:rPr>
        <w:t>OT</w:t>
      </w:r>
      <w:r w:rsidRPr="3BFF6491">
        <w:rPr>
          <w:rFonts w:eastAsia="Arial" w:cs="Arial"/>
        </w:rPr>
        <w:t xml:space="preserve">/argile, conformément aux critères de la mesure agro-environnementale MAEC Sol – MR14 (SPW, 2025). </w:t>
      </w:r>
      <w:r w:rsidR="47B93AD4" w:rsidRPr="3BFF6491">
        <w:rPr>
          <w:rFonts w:eastAsia="Arial" w:cs="Arial"/>
        </w:rPr>
        <w:t>L’axe Y représente le carbone organique total (COT) et l’axe X le taux d’argile. La couleur des points indique la parcelle correspondante et la forme des points distingue le type de culture : conventionnel ou biologique.</w:t>
      </w:r>
    </w:p>
    <w:p w14:paraId="5A813036" w14:textId="10D854EF" w:rsidR="25595280" w:rsidRDefault="25595280" w:rsidP="13C70224">
      <w:pPr>
        <w:spacing w:line="276" w:lineRule="auto"/>
        <w:rPr>
          <w:rFonts w:eastAsia="Arial" w:cs="Arial"/>
        </w:rPr>
      </w:pPr>
    </w:p>
    <w:p w14:paraId="59419A7A" w14:textId="4E1FCCAC" w:rsidR="5B9BDBD6" w:rsidRDefault="1251018C" w:rsidP="13C70224">
      <w:pPr>
        <w:spacing w:after="0" w:line="276" w:lineRule="auto"/>
        <w:jc w:val="both"/>
        <w:rPr>
          <w:rFonts w:eastAsia="Arial" w:cs="Arial"/>
          <w:b/>
          <w:bCs/>
        </w:rPr>
      </w:pPr>
      <w:r w:rsidRPr="39F73C8B">
        <w:rPr>
          <w:rFonts w:eastAsia="Arial" w:cs="Arial"/>
        </w:rPr>
        <w:t>Les analyses de sol réalisées en laboratoire étaient jugées défavorables sur 76,5 ± 2 % des points d'analyse, considérées comme en transition sur 18,2 ± 2,01 % des points d’analyse, et favorables sur 3,3 ± 1,12 % des points d'analyse.</w:t>
      </w:r>
      <w:r w:rsidRPr="39F73C8B">
        <w:rPr>
          <w:rFonts w:eastAsia="Arial" w:cs="Arial"/>
          <w:b/>
          <w:bCs/>
        </w:rPr>
        <w:t xml:space="preserve"> </w:t>
      </w:r>
      <w:r w:rsidR="042C15DE" w:rsidRPr="39F73C8B">
        <w:rPr>
          <w:rFonts w:eastAsia="Arial" w:cs="Arial"/>
          <w:b/>
          <w:bCs/>
        </w:rPr>
        <w:t>Ces résultats montrent que l’amélioration du ratio C/argile, et donc du taux de carbone organique des sols, constitue un enjeu agronomique majeur, pouvant être abordé par l’optimisation des apports de matière organique. </w:t>
      </w:r>
    </w:p>
    <w:p w14:paraId="25A3F512" w14:textId="283CB8E5" w:rsidR="5B9BDBD6" w:rsidRDefault="5B9BDBD6" w:rsidP="13C70224">
      <w:pPr>
        <w:spacing w:after="0" w:line="276" w:lineRule="auto"/>
        <w:jc w:val="both"/>
        <w:rPr>
          <w:rFonts w:eastAsia="Arial" w:cs="Arial"/>
          <w:sz w:val="21"/>
          <w:szCs w:val="21"/>
        </w:rPr>
      </w:pPr>
    </w:p>
    <w:p w14:paraId="2758B1FD" w14:textId="03A90BC7" w:rsidR="5B9BDBD6" w:rsidRDefault="1251018C" w:rsidP="13C70224">
      <w:pPr>
        <w:pStyle w:val="Titre4"/>
        <w:spacing w:line="276" w:lineRule="auto"/>
        <w:rPr>
          <w:rFonts w:eastAsia="Arial" w:cs="Arial"/>
        </w:rPr>
      </w:pPr>
      <w:r w:rsidRPr="13C70224">
        <w:rPr>
          <w:rFonts w:eastAsia="Arial" w:cs="Arial"/>
        </w:rPr>
        <w:t>Veris MSP3</w:t>
      </w:r>
    </w:p>
    <w:p w14:paraId="78269CBA" w14:textId="517D51AD" w:rsidR="5B9BDBD6" w:rsidRDefault="1251018C" w:rsidP="13C70224">
      <w:pPr>
        <w:spacing w:line="276" w:lineRule="auto"/>
        <w:jc w:val="both"/>
        <w:rPr>
          <w:rFonts w:eastAsia="Arial" w:cs="Arial"/>
        </w:rPr>
      </w:pPr>
      <w:r w:rsidRPr="13C70224">
        <w:rPr>
          <w:rFonts w:eastAsia="Arial" w:cs="Arial"/>
        </w:rPr>
        <w:t>Les cartes de préconisation des amendements en matière organiques issues de la solution Veris MSP3 sont établies selon les procédures internes de la solution, à la demande de l’agriculteur, une fois la cartographie du sol réalisée.</w:t>
      </w:r>
    </w:p>
    <w:p w14:paraId="563E4C91" w14:textId="7D57C85D" w:rsidR="5B9BDBD6" w:rsidRDefault="5B9BDBD6" w:rsidP="13C70224">
      <w:pPr>
        <w:spacing w:line="276" w:lineRule="auto"/>
        <w:jc w:val="both"/>
        <w:rPr>
          <w:rFonts w:eastAsia="Arial" w:cs="Arial"/>
        </w:rPr>
      </w:pPr>
    </w:p>
    <w:p w14:paraId="661C8009" w14:textId="1FEC5F91" w:rsidR="5B9BDBD6" w:rsidRDefault="1251018C" w:rsidP="13C70224">
      <w:pPr>
        <w:pStyle w:val="Titre4"/>
        <w:spacing w:line="276" w:lineRule="auto"/>
        <w:rPr>
          <w:rFonts w:eastAsia="Arial" w:cs="Arial"/>
        </w:rPr>
      </w:pPr>
      <w:r w:rsidRPr="13C70224">
        <w:rPr>
          <w:rFonts w:eastAsia="Arial" w:cs="Arial"/>
        </w:rPr>
        <w:lastRenderedPageBreak/>
        <w:t>InterraScan</w:t>
      </w:r>
    </w:p>
    <w:p w14:paraId="52ED2D6E" w14:textId="1D1A3FCC" w:rsidR="5B9BDBD6" w:rsidRDefault="1251018C" w:rsidP="13C70224">
      <w:pPr>
        <w:spacing w:before="240" w:after="240" w:line="276" w:lineRule="auto"/>
        <w:jc w:val="both"/>
        <w:rPr>
          <w:rFonts w:eastAsia="Arial" w:cs="Arial"/>
        </w:rPr>
      </w:pPr>
      <w:r w:rsidRPr="13C70224">
        <w:rPr>
          <w:rFonts w:eastAsia="Arial" w:cs="Arial"/>
        </w:rPr>
        <w:t>Pour la solution InterraScan, la carte de préconisation relative à la matière organique est élaborée lors d’un échange entre les agronomes de la solution et l’agriculteur. Ensemble, ils déterminent les doses à appliquer en s’appuyant sur les cartes de carbone organique générées par InterraScan, via l’outil en ligne de création de cartes de modulation mis à disposition par la solution.</w:t>
      </w:r>
    </w:p>
    <w:p w14:paraId="2B5024F0" w14:textId="023ED1A8" w:rsidR="5B9BDBD6" w:rsidRDefault="5B9BDBD6" w:rsidP="13C70224">
      <w:pPr>
        <w:spacing w:line="276" w:lineRule="auto"/>
        <w:jc w:val="both"/>
        <w:rPr>
          <w:rFonts w:eastAsia="Arial" w:cs="Arial"/>
        </w:rPr>
      </w:pPr>
    </w:p>
    <w:p w14:paraId="1B492E7B" w14:textId="54A6C9F0" w:rsidR="5B9BDBD6" w:rsidRDefault="1251018C" w:rsidP="13C70224">
      <w:pPr>
        <w:pStyle w:val="Titre3"/>
        <w:spacing w:line="276" w:lineRule="auto"/>
        <w:rPr>
          <w:rFonts w:eastAsia="Arial" w:cs="Arial"/>
          <w:sz w:val="24"/>
          <w:szCs w:val="24"/>
        </w:rPr>
      </w:pPr>
      <w:r w:rsidRPr="13C70224">
        <w:rPr>
          <w:rFonts w:eastAsia="Arial" w:cs="Arial"/>
        </w:rPr>
        <w:t>Carte de prescription obtenues</w:t>
      </w:r>
    </w:p>
    <w:p w14:paraId="3363113C" w14:textId="710757B9" w:rsidR="5B9BDBD6" w:rsidRDefault="1251018C" w:rsidP="13C70224">
      <w:pPr>
        <w:pStyle w:val="Titre4"/>
        <w:spacing w:line="276" w:lineRule="auto"/>
        <w:rPr>
          <w:rFonts w:eastAsia="Arial" w:cs="Arial"/>
        </w:rPr>
      </w:pPr>
      <w:r w:rsidRPr="13C70224">
        <w:rPr>
          <w:rFonts w:eastAsia="Arial" w:cs="Arial"/>
        </w:rPr>
        <w:t>Référence</w:t>
      </w:r>
    </w:p>
    <w:p w14:paraId="25071B7A" w14:textId="60FC87D0" w:rsidR="5B9BDBD6" w:rsidRDefault="1251018C" w:rsidP="13C70224">
      <w:pPr>
        <w:spacing w:line="276" w:lineRule="auto"/>
        <w:jc w:val="both"/>
        <w:rPr>
          <w:rFonts w:eastAsia="Arial" w:cs="Arial"/>
        </w:rPr>
      </w:pPr>
      <w:r w:rsidRPr="13C70224">
        <w:rPr>
          <w:rFonts w:eastAsia="Arial" w:cs="Arial"/>
        </w:rPr>
        <w:t>Non applicable ici.</w:t>
      </w:r>
    </w:p>
    <w:p w14:paraId="0D462917" w14:textId="111BF411" w:rsidR="5B9BDBD6" w:rsidRDefault="5B9BDBD6" w:rsidP="13C70224">
      <w:pPr>
        <w:spacing w:line="276" w:lineRule="auto"/>
        <w:jc w:val="both"/>
        <w:rPr>
          <w:rFonts w:eastAsia="Arial" w:cs="Arial"/>
        </w:rPr>
      </w:pPr>
    </w:p>
    <w:p w14:paraId="1D66389E" w14:textId="03A90BC7" w:rsidR="5B9BDBD6" w:rsidRDefault="1251018C" w:rsidP="13C70224">
      <w:pPr>
        <w:pStyle w:val="Titre4"/>
        <w:spacing w:line="276" w:lineRule="auto"/>
        <w:rPr>
          <w:rFonts w:eastAsia="Arial" w:cs="Arial"/>
        </w:rPr>
      </w:pPr>
      <w:r w:rsidRPr="13C70224">
        <w:rPr>
          <w:rFonts w:eastAsia="Arial" w:cs="Arial"/>
        </w:rPr>
        <w:t>Veris MSP3</w:t>
      </w:r>
    </w:p>
    <w:p w14:paraId="1FDAC843" w14:textId="574593C7" w:rsidR="5B9BDBD6" w:rsidRDefault="1251018C" w:rsidP="13C70224">
      <w:pPr>
        <w:spacing w:line="276" w:lineRule="auto"/>
        <w:jc w:val="both"/>
        <w:rPr>
          <w:rFonts w:eastAsia="Arial" w:cs="Arial"/>
        </w:rPr>
      </w:pPr>
      <w:r w:rsidRPr="13C70224">
        <w:rPr>
          <w:rFonts w:eastAsia="Arial" w:cs="Arial"/>
        </w:rPr>
        <w:t xml:space="preserve">L’évaluation technique présentée ci-après (page </w:t>
      </w:r>
      <w:r w:rsidR="5B9BDBD6" w:rsidRPr="1BDD9486">
        <w:rPr>
          <w:rFonts w:eastAsia="Arial" w:cs="Arial"/>
          <w:highlight w:val="yellow"/>
        </w:rPr>
        <w:fldChar w:fldCharType="begin"/>
      </w:r>
      <w:r w:rsidR="5B9BDBD6" w:rsidRPr="1BDD9486">
        <w:rPr>
          <w:rFonts w:eastAsia="Arial" w:cs="Arial"/>
        </w:rPr>
        <w:instrText xml:space="preserve"> PAGEREF _Ref221887703 \h </w:instrText>
      </w:r>
      <w:r w:rsidR="5B9BDBD6" w:rsidRPr="1BDD9486">
        <w:rPr>
          <w:rFonts w:eastAsia="Arial" w:cs="Arial"/>
          <w:highlight w:val="yellow"/>
        </w:rPr>
      </w:r>
      <w:r w:rsidR="5B9BDBD6" w:rsidRPr="1BDD9486">
        <w:rPr>
          <w:rFonts w:eastAsia="Arial" w:cs="Arial"/>
          <w:highlight w:val="yellow"/>
        </w:rPr>
        <w:fldChar w:fldCharType="separate"/>
      </w:r>
      <w:r w:rsidRPr="1BDD9486">
        <w:rPr>
          <w:rFonts w:eastAsia="Arial" w:cs="Arial"/>
          <w:noProof/>
        </w:rPr>
        <w:t>28</w:t>
      </w:r>
      <w:r w:rsidR="5B9BDBD6" w:rsidRPr="1BDD9486">
        <w:rPr>
          <w:rFonts w:eastAsia="Arial" w:cs="Arial"/>
          <w:highlight w:val="yellow"/>
        </w:rPr>
        <w:fldChar w:fldCharType="end"/>
      </w:r>
      <w:r w:rsidRPr="13C70224">
        <w:rPr>
          <w:rFonts w:eastAsia="Arial" w:cs="Arial"/>
        </w:rPr>
        <w:t>) n’a pas permis de valider les cartes de carbone organique produites par la solution Veris MSP3. En conséquence, une stratégie définie par le CRA-W en collaboration avec l</w:t>
      </w:r>
      <w:r w:rsidR="3CB53785" w:rsidRPr="13C70224">
        <w:rPr>
          <w:rFonts w:eastAsia="Arial" w:cs="Arial"/>
        </w:rPr>
        <w:t>a Ferme du Plein Air</w:t>
      </w:r>
      <w:r w:rsidRPr="13C70224">
        <w:rPr>
          <w:rFonts w:eastAsia="Arial" w:cs="Arial"/>
        </w:rPr>
        <w:t xml:space="preserve"> a été mise en place pour la réalisation d’épandages variables de compost et de fumier.</w:t>
      </w:r>
    </w:p>
    <w:p w14:paraId="5BF2B40B" w14:textId="478E03B9" w:rsidR="5B9BDBD6" w:rsidRDefault="350032DA" w:rsidP="13C70224">
      <w:pPr>
        <w:spacing w:line="276" w:lineRule="auto"/>
        <w:jc w:val="both"/>
        <w:rPr>
          <w:rFonts w:eastAsia="Arial" w:cs="Arial"/>
        </w:rPr>
      </w:pPr>
      <w:r w:rsidRPr="13C70224">
        <w:rPr>
          <w:rFonts w:eastAsia="Arial" w:cs="Arial"/>
        </w:rPr>
        <w:t>Tout d’abord, une relation a été observée sur les terres du projet entre la topographie, la texture du sol et le ratio C/argile (</w:t>
      </w:r>
      <w:r w:rsidR="70CBF6EB" w:rsidRPr="13C70224">
        <w:rPr>
          <w:rFonts w:eastAsia="Arial" w:cs="Arial"/>
        </w:rPr>
        <w:t>figure 6</w:t>
      </w:r>
      <w:r w:rsidRPr="13C70224">
        <w:rPr>
          <w:rFonts w:eastAsia="Arial" w:cs="Arial"/>
        </w:rPr>
        <w:t>).</w:t>
      </w:r>
    </w:p>
    <w:p w14:paraId="5BF3B305" w14:textId="77777777" w:rsidR="5B9BDBD6" w:rsidRDefault="1251018C" w:rsidP="13C70224">
      <w:pPr>
        <w:keepNext/>
        <w:spacing w:line="276" w:lineRule="auto"/>
        <w:jc w:val="both"/>
        <w:rPr>
          <w:rFonts w:eastAsia="Arial" w:cs="Arial"/>
        </w:rPr>
      </w:pPr>
      <w:r>
        <w:rPr>
          <w:noProof/>
        </w:rPr>
        <w:drawing>
          <wp:inline distT="0" distB="0" distL="0" distR="0" wp14:anchorId="0E7F1DBE" wp14:editId="388E14A2">
            <wp:extent cx="5038354" cy="3599695"/>
            <wp:effectExtent l="0" t="0" r="0" b="1270"/>
            <wp:docPr id="198753405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981624"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5038354" cy="3599695"/>
                    </a:xfrm>
                    <a:prstGeom prst="rect">
                      <a:avLst/>
                    </a:prstGeom>
                  </pic:spPr>
                </pic:pic>
              </a:graphicData>
            </a:graphic>
          </wp:inline>
        </w:drawing>
      </w:r>
    </w:p>
    <w:p w14:paraId="5F665576" w14:textId="56207CA1" w:rsidR="5B9BDBD6" w:rsidRDefault="350032DA" w:rsidP="13C70224">
      <w:pPr>
        <w:pStyle w:val="Lgende"/>
        <w:spacing w:line="276" w:lineRule="auto"/>
        <w:jc w:val="both"/>
        <w:rPr>
          <w:rFonts w:eastAsia="Arial" w:cs="Arial"/>
        </w:rPr>
      </w:pPr>
      <w:r w:rsidRPr="3BFF6491">
        <w:rPr>
          <w:rFonts w:eastAsia="Arial" w:cs="Arial"/>
        </w:rPr>
        <w:t xml:space="preserve">Figure </w:t>
      </w:r>
      <w:r w:rsidR="5AD220D8" w:rsidRPr="3BFF6491">
        <w:rPr>
          <w:rFonts w:eastAsia="Arial" w:cs="Arial"/>
        </w:rPr>
        <w:t>6</w:t>
      </w:r>
      <w:r w:rsidRPr="3BFF6491">
        <w:rPr>
          <w:rFonts w:eastAsia="Arial" w:cs="Arial"/>
        </w:rPr>
        <w:t>. L’axe y présente le ratio carbone organique total / argile issu des analyses de sol du laboratoire BW. L’axe x correspond à l’indice topographique de position (TPI). La courbe rouge représente la relation non linéaire entre le ratio C/argile et le TPI obtenu à l’aide d’un modèle additif généralisé. La couleur des points indique le type de sol : jaune pour les sols légers (&lt; 12 % d’argile), vert pour les sols moyens (12–19 %) et bleu pour les sols lourds (&gt; 19 %). </w:t>
      </w:r>
    </w:p>
    <w:p w14:paraId="1EFCDA45" w14:textId="2835768B" w:rsidR="5B9BDBD6" w:rsidRDefault="1251018C" w:rsidP="13C70224">
      <w:pPr>
        <w:spacing w:before="240" w:after="240" w:line="276" w:lineRule="auto"/>
        <w:jc w:val="both"/>
        <w:rPr>
          <w:rFonts w:eastAsia="Arial" w:cs="Arial"/>
        </w:rPr>
      </w:pPr>
      <w:r w:rsidRPr="13C70224">
        <w:rPr>
          <w:rFonts w:eastAsia="Arial" w:cs="Arial"/>
        </w:rPr>
        <w:t xml:space="preserve">Pour quantifier cette relation, un modèle statistique a été développé afin de prédire, à l’échelle des points d’analyse, le ratio C/argile en fonction de trois variables explicatives : le pourcentage d’argile, </w:t>
      </w:r>
      <w:r w:rsidRPr="13C70224">
        <w:rPr>
          <w:rFonts w:eastAsia="Arial" w:cs="Arial"/>
        </w:rPr>
        <w:lastRenderedPageBreak/>
        <w:t>l’indice topographique de position (TPI) et la pente. Le modèle intégrait un effet aléatoire lié aux parcelles et considérait des effets polynomiaux de degré deux sur les variables explicatives afin de capturer d’éventuelles relations non linéaires.</w:t>
      </w:r>
    </w:p>
    <w:p w14:paraId="4F0325C7" w14:textId="4F9225A7" w:rsidR="5B9BDBD6" w:rsidRDefault="1251018C" w:rsidP="13C70224">
      <w:pPr>
        <w:spacing w:before="240" w:after="240" w:line="276" w:lineRule="auto"/>
        <w:jc w:val="both"/>
        <w:rPr>
          <w:rFonts w:eastAsia="Arial" w:cs="Arial"/>
        </w:rPr>
      </w:pPr>
      <w:r w:rsidRPr="13C70224">
        <w:rPr>
          <w:rFonts w:eastAsia="Arial" w:cs="Arial"/>
        </w:rPr>
        <w:t>Différents modèles, incluant ou non les trois variables explicatives et les effets polynomiaux, ont été comparés à l’aide du critère d’information d’</w:t>
      </w:r>
      <w:proofErr w:type="spellStart"/>
      <w:r w:rsidRPr="13C70224">
        <w:rPr>
          <w:rFonts w:eastAsia="Arial" w:cs="Arial"/>
        </w:rPr>
        <w:t>Akaike</w:t>
      </w:r>
      <w:proofErr w:type="spellEnd"/>
      <w:r w:rsidRPr="13C70224">
        <w:rPr>
          <w:rFonts w:eastAsia="Arial" w:cs="Arial"/>
        </w:rPr>
        <w:t xml:space="preserve"> (AIC) afin de sélectionner le meilleur compromis entre parcimonie et qualité d’ajustement.</w:t>
      </w:r>
    </w:p>
    <w:p w14:paraId="6066A79B" w14:textId="6A8DCE93" w:rsidR="5B9BDBD6" w:rsidRDefault="350032DA" w:rsidP="13C70224">
      <w:pPr>
        <w:spacing w:before="240" w:after="240" w:line="276" w:lineRule="auto"/>
        <w:jc w:val="both"/>
        <w:rPr>
          <w:rFonts w:eastAsia="Arial" w:cs="Arial"/>
        </w:rPr>
      </w:pPr>
      <w:r w:rsidRPr="13C70224">
        <w:rPr>
          <w:rFonts w:eastAsia="Arial" w:cs="Arial"/>
        </w:rPr>
        <w:t xml:space="preserve">Les relations mises en évidence par ce modèle ont ensuite été utilisées pour prédire de manière continue le ratio C/Argile sur l’ensemble des parcelles. Cette prédiction spatialisée s’appuie sur trois variables prédictives disponibles sous forme de cartes : le pourcentage d’argile estimé à partir de la conductivité électrique du sol mesurée entre 0 et 30 cm, le TPI et la pente. L’ensemble des prédictions sont disponibles dans la </w:t>
      </w:r>
      <w:r w:rsidR="3A0A0333" w:rsidRPr="13C70224">
        <w:rPr>
          <w:rFonts w:eastAsia="Arial" w:cs="Arial"/>
        </w:rPr>
        <w:t>figure 7</w:t>
      </w:r>
      <w:r w:rsidRPr="13C70224">
        <w:rPr>
          <w:rFonts w:eastAsia="Arial" w:cs="Arial"/>
        </w:rPr>
        <w:t xml:space="preserve">. </w:t>
      </w:r>
    </w:p>
    <w:p w14:paraId="2E93E4E5" w14:textId="77777777" w:rsidR="5B9BDBD6" w:rsidRDefault="1251018C" w:rsidP="13C70224">
      <w:pPr>
        <w:keepNext/>
        <w:spacing w:before="240" w:after="240" w:line="276" w:lineRule="auto"/>
        <w:jc w:val="both"/>
        <w:rPr>
          <w:rFonts w:eastAsia="Arial" w:cs="Arial"/>
        </w:rPr>
      </w:pPr>
      <w:r>
        <w:rPr>
          <w:noProof/>
        </w:rPr>
        <w:drawing>
          <wp:inline distT="0" distB="0" distL="0" distR="0" wp14:anchorId="4022495C" wp14:editId="1207AAB7">
            <wp:extent cx="5398000" cy="4317828"/>
            <wp:effectExtent l="0" t="0" r="0" b="6985"/>
            <wp:docPr id="8011294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26841" name=""/>
                    <pic:cNvPicPr/>
                  </pic:nvPicPr>
                  <pic:blipFill>
                    <a:blip r:embed="rId18" cstate="screen">
                      <a:extLst>
                        <a:ext uri="{28A0092B-C50C-407E-A947-70E740481C1C}">
                          <a14:useLocalDpi xmlns:a14="http://schemas.microsoft.com/office/drawing/2010/main"/>
                        </a:ext>
                      </a:extLst>
                    </a:blip>
                    <a:stretch>
                      <a:fillRect/>
                    </a:stretch>
                  </pic:blipFill>
                  <pic:spPr>
                    <a:xfrm>
                      <a:off x="0" y="0"/>
                      <a:ext cx="5398000" cy="4317828"/>
                    </a:xfrm>
                    <a:prstGeom prst="rect">
                      <a:avLst/>
                    </a:prstGeom>
                  </pic:spPr>
                </pic:pic>
              </a:graphicData>
            </a:graphic>
          </wp:inline>
        </w:drawing>
      </w:r>
    </w:p>
    <w:p w14:paraId="1F0B9196" w14:textId="746E9CED" w:rsidR="5B9BDBD6" w:rsidRDefault="350032DA" w:rsidP="13C70224">
      <w:pPr>
        <w:pStyle w:val="Lgende"/>
        <w:spacing w:line="276" w:lineRule="auto"/>
        <w:jc w:val="both"/>
        <w:rPr>
          <w:rFonts w:eastAsia="Arial" w:cs="Arial"/>
        </w:rPr>
      </w:pPr>
      <w:r w:rsidRPr="3BFF6491">
        <w:rPr>
          <w:rFonts w:eastAsia="Arial" w:cs="Arial"/>
        </w:rPr>
        <w:t xml:space="preserve">Figure </w:t>
      </w:r>
      <w:r w:rsidR="30C56C0A" w:rsidRPr="3BFF6491">
        <w:rPr>
          <w:rFonts w:eastAsia="Arial" w:cs="Arial"/>
        </w:rPr>
        <w:t>7</w:t>
      </w:r>
      <w:r w:rsidRPr="3BFF6491">
        <w:rPr>
          <w:rFonts w:eastAsia="Arial" w:cs="Arial"/>
        </w:rPr>
        <w:t>. Cartes du ratio C/argile prédites à partir de l’indice topographique de position, du taux d’argile et de la pente. Les zones présentant un ratio C/argile inférieur à 6 sont matérialisées par un polygone dont l’intérieur est rempli de pointillés. Une maille de 100 m × 100 m (soit 1 ha) est représentée sur chacune des cartes des parcelles du projet.</w:t>
      </w:r>
    </w:p>
    <w:p w14:paraId="120A899B" w14:textId="073F26C7" w:rsidR="5B9BDBD6" w:rsidRDefault="5B9BDBD6" w:rsidP="13C70224">
      <w:pPr>
        <w:pStyle w:val="Lgende"/>
        <w:spacing w:line="276" w:lineRule="auto"/>
        <w:jc w:val="both"/>
        <w:rPr>
          <w:rFonts w:eastAsia="Arial" w:cs="Arial"/>
        </w:rPr>
      </w:pPr>
    </w:p>
    <w:p w14:paraId="7C47BE1E" w14:textId="26185A97" w:rsidR="5B9BDBD6" w:rsidRDefault="350032DA" w:rsidP="13C70224">
      <w:pPr>
        <w:spacing w:after="0" w:line="276" w:lineRule="auto"/>
        <w:jc w:val="both"/>
        <w:rPr>
          <w:rFonts w:eastAsia="Arial" w:cs="Arial"/>
        </w:rPr>
      </w:pPr>
      <w:r w:rsidRPr="13C70224">
        <w:rPr>
          <w:rFonts w:eastAsia="Arial" w:cs="Arial"/>
        </w:rPr>
        <w:t xml:space="preserve">En l’absence d’un épandeur capable de moduler automatiquement (matériel non disponible lors des épandage), des modulations de dose simplifiées ont été mis en place. Les zones présentant un ratio C/argile inférieur à 6 ont été ciblées pour l’épandage de la matière organique disponible. Ces zones sont visibles sur la </w:t>
      </w:r>
      <w:r w:rsidR="68CD389B" w:rsidRPr="13C70224">
        <w:rPr>
          <w:rFonts w:eastAsia="Arial" w:cs="Arial"/>
        </w:rPr>
        <w:t>figure 7</w:t>
      </w:r>
      <w:r w:rsidRPr="13C70224">
        <w:rPr>
          <w:rFonts w:eastAsia="Arial" w:cs="Arial"/>
        </w:rPr>
        <w:t xml:space="preserve"> et matérialisées par des pointillés.</w:t>
      </w:r>
    </w:p>
    <w:p w14:paraId="13A3CCE3" w14:textId="04994A2B" w:rsidR="5B9BDBD6" w:rsidRDefault="5B9BDBD6" w:rsidP="13C70224">
      <w:pPr>
        <w:spacing w:after="0" w:line="276" w:lineRule="auto"/>
        <w:jc w:val="both"/>
        <w:rPr>
          <w:rFonts w:eastAsia="Arial" w:cs="Arial"/>
        </w:rPr>
      </w:pPr>
    </w:p>
    <w:p w14:paraId="501501C6" w14:textId="0B808B95" w:rsidR="5B9BDBD6" w:rsidRDefault="01449CAE" w:rsidP="13C70224">
      <w:pPr>
        <w:pStyle w:val="Titre4"/>
        <w:spacing w:line="276" w:lineRule="auto"/>
        <w:rPr>
          <w:rFonts w:eastAsia="Arial" w:cs="Arial"/>
        </w:rPr>
      </w:pPr>
      <w:r w:rsidRPr="13C70224">
        <w:rPr>
          <w:rFonts w:eastAsia="Arial" w:cs="Arial"/>
        </w:rPr>
        <w:lastRenderedPageBreak/>
        <w:t xml:space="preserve">InterraScan </w:t>
      </w:r>
    </w:p>
    <w:p w14:paraId="14A270C2" w14:textId="22E96ADA" w:rsidR="4A7BFF7A" w:rsidRDefault="4A7BFF7A" w:rsidP="13C70224">
      <w:pPr>
        <w:spacing w:line="276" w:lineRule="auto"/>
        <w:jc w:val="both"/>
        <w:rPr>
          <w:rFonts w:eastAsia="Arial" w:cs="Arial"/>
        </w:rPr>
      </w:pPr>
      <w:r w:rsidRPr="39F73C8B">
        <w:rPr>
          <w:rFonts w:eastAsia="Arial" w:cs="Arial"/>
        </w:rPr>
        <w:t xml:space="preserve">Bien qu’InterraScan offre la possibilité de générer des cartes de </w:t>
      </w:r>
      <w:r w:rsidR="1D130550" w:rsidRPr="39F73C8B">
        <w:rPr>
          <w:rFonts w:eastAsia="Arial" w:cs="Arial"/>
        </w:rPr>
        <w:t>prescrip</w:t>
      </w:r>
      <w:r w:rsidRPr="39F73C8B">
        <w:rPr>
          <w:rFonts w:eastAsia="Arial" w:cs="Arial"/>
        </w:rPr>
        <w:t>tion de dose à partir des cartes de carbone organique, aucune carte de préconisation d’apport de matière organique n’a été produite avec cette solution dans le cadre de ce projet. La solution InterraScan n’a en effet été mobilisée qu’en cours de projet, alors qu’elle n’était pas prévue initialement. De plus, les premières évaluations techniques réalisées lors de l’acquisition des données se sont révélées décevantes. Des échanges entre InterraScan et le CRA-W ont notamment permis d’identifier des incohérences dans les cartes d’argile et de texture des sols produites par la solution. Dans ce contexte, l’accent a été mis sur la solution Veris MSP3 pour la mise en place de la modulation des apports de matière organique, cette technologie apparaissant plus mature, notamment en raison de sa présence plus ancienne sur le marché.</w:t>
      </w:r>
    </w:p>
    <w:p w14:paraId="1292E895" w14:textId="6CEF8F47" w:rsidR="39F73C8B" w:rsidRDefault="39F73C8B" w:rsidP="39F73C8B">
      <w:pPr>
        <w:spacing w:line="276" w:lineRule="auto"/>
        <w:jc w:val="both"/>
        <w:rPr>
          <w:rFonts w:eastAsia="Arial" w:cs="Arial"/>
        </w:rPr>
      </w:pPr>
    </w:p>
    <w:p w14:paraId="34BD071D" w14:textId="49BBD0A7" w:rsidR="5B9BDBD6" w:rsidRDefault="03DD8183" w:rsidP="13C70224">
      <w:pPr>
        <w:pStyle w:val="Titre2"/>
        <w:spacing w:line="276" w:lineRule="auto"/>
        <w:rPr>
          <w:rFonts w:ascii="Arial" w:eastAsia="Arial" w:hAnsi="Arial" w:cs="Arial"/>
        </w:rPr>
      </w:pPr>
      <w:bookmarkStart w:id="7" w:name="_Toc267213772"/>
      <w:r w:rsidRPr="3BFF6491">
        <w:rPr>
          <w:rFonts w:ascii="Arial" w:eastAsia="Arial" w:hAnsi="Arial" w:cs="Arial"/>
        </w:rPr>
        <w:t>Sujet 2 : pH</w:t>
      </w:r>
      <w:bookmarkEnd w:id="7"/>
    </w:p>
    <w:p w14:paraId="08516AB4" w14:textId="26DB47C1" w:rsidR="5B9BDBD6" w:rsidRDefault="6CD8FFE5" w:rsidP="13C70224">
      <w:pPr>
        <w:pStyle w:val="Titre3"/>
        <w:spacing w:line="276" w:lineRule="auto"/>
        <w:rPr>
          <w:rFonts w:eastAsia="Arial" w:cs="Arial"/>
          <w:sz w:val="24"/>
          <w:szCs w:val="24"/>
        </w:rPr>
      </w:pPr>
      <w:r w:rsidRPr="13C70224">
        <w:rPr>
          <w:rFonts w:eastAsia="Arial" w:cs="Arial"/>
        </w:rPr>
        <w:t>Données mesurées</w:t>
      </w:r>
    </w:p>
    <w:p w14:paraId="43FE4339" w14:textId="0654AAD0" w:rsidR="5B9BDBD6" w:rsidRDefault="6CD8FFE5" w:rsidP="13C70224">
      <w:pPr>
        <w:pStyle w:val="Titre4"/>
        <w:spacing w:line="276" w:lineRule="auto"/>
        <w:rPr>
          <w:rFonts w:eastAsia="Arial" w:cs="Arial"/>
        </w:rPr>
      </w:pPr>
      <w:r w:rsidRPr="13C70224">
        <w:rPr>
          <w:rFonts w:eastAsia="Arial" w:cs="Arial"/>
        </w:rPr>
        <w:t>Référence</w:t>
      </w:r>
    </w:p>
    <w:p w14:paraId="61347DC2" w14:textId="545B06FB" w:rsidR="5B9BDBD6" w:rsidRDefault="6CD8FFE5" w:rsidP="13C70224">
      <w:pPr>
        <w:spacing w:before="240" w:after="240" w:line="276" w:lineRule="auto"/>
        <w:jc w:val="both"/>
        <w:rPr>
          <w:rFonts w:eastAsia="Arial" w:cs="Arial"/>
        </w:rPr>
      </w:pPr>
      <w:r w:rsidRPr="13C70224">
        <w:rPr>
          <w:rFonts w:eastAsia="Arial" w:cs="Arial"/>
        </w:rPr>
        <w:t xml:space="preserve">Deux mesures de pH KCl ont été réalisé chez le laboratoire BDB (ISO </w:t>
      </w:r>
      <w:proofErr w:type="gramStart"/>
      <w:r w:rsidRPr="13C70224">
        <w:rPr>
          <w:rFonts w:eastAsia="Arial" w:cs="Arial"/>
        </w:rPr>
        <w:t>10390;</w:t>
      </w:r>
      <w:proofErr w:type="gramEnd"/>
      <w:r w:rsidRPr="13C70224">
        <w:rPr>
          <w:rFonts w:eastAsia="Arial" w:cs="Arial"/>
        </w:rPr>
        <w:t xml:space="preserve"> CMA/2/II/A.</w:t>
      </w:r>
      <w:proofErr w:type="gramStart"/>
      <w:r w:rsidRPr="13C70224">
        <w:rPr>
          <w:rFonts w:eastAsia="Arial" w:cs="Arial"/>
        </w:rPr>
        <w:t>20;</w:t>
      </w:r>
      <w:proofErr w:type="gramEnd"/>
      <w:r w:rsidRPr="13C70224">
        <w:rPr>
          <w:rFonts w:eastAsia="Arial" w:cs="Arial"/>
        </w:rPr>
        <w:t xml:space="preserve"> BOC &amp; BDB - Méthode dérivée de ISO 10390) et une mesure de pH KCl (PTCS3-NF ISO 10390) et une mesure de pH eau (PTCS3-NF ISO 10390) ont été réalisé chez le laboratoire BW. </w:t>
      </w:r>
    </w:p>
    <w:p w14:paraId="2BE20184" w14:textId="2B92827D" w:rsidR="5B9BDBD6" w:rsidRDefault="5B9BDBD6" w:rsidP="13C70224">
      <w:pPr>
        <w:spacing w:before="240" w:after="240" w:line="276" w:lineRule="auto"/>
        <w:jc w:val="both"/>
        <w:rPr>
          <w:rFonts w:eastAsia="Arial" w:cs="Arial"/>
        </w:rPr>
      </w:pPr>
    </w:p>
    <w:p w14:paraId="5B68D654" w14:textId="48B30B71" w:rsidR="5B9BDBD6" w:rsidRDefault="6CD8FFE5" w:rsidP="13C70224">
      <w:pPr>
        <w:pStyle w:val="Titre4"/>
        <w:spacing w:line="276" w:lineRule="auto"/>
        <w:rPr>
          <w:rFonts w:eastAsia="Arial" w:cs="Arial"/>
        </w:rPr>
      </w:pPr>
      <w:r w:rsidRPr="13C70224">
        <w:rPr>
          <w:rFonts w:eastAsia="Arial" w:cs="Arial"/>
        </w:rPr>
        <w:t>Veris MSP3</w:t>
      </w:r>
    </w:p>
    <w:p w14:paraId="103DF09A" w14:textId="69DA3F0E" w:rsidR="5B9BDBD6" w:rsidRDefault="4B5FB355" w:rsidP="13C70224">
      <w:pPr>
        <w:spacing w:line="276" w:lineRule="auto"/>
        <w:jc w:val="both"/>
        <w:rPr>
          <w:rFonts w:eastAsia="Arial" w:cs="Arial"/>
        </w:rPr>
      </w:pPr>
      <w:r w:rsidRPr="13C70224">
        <w:rPr>
          <w:rFonts w:eastAsia="Arial" w:cs="Arial"/>
        </w:rPr>
        <w:t xml:space="preserve">Quatorze cartes de pH ont été fournies par la solution Veris MSP3 et </w:t>
      </w:r>
      <w:r w:rsidR="62E6B83B" w:rsidRPr="13C70224">
        <w:rPr>
          <w:rFonts w:eastAsia="Arial" w:cs="Arial"/>
        </w:rPr>
        <w:t>un exemple de carte est présenté ci-après</w:t>
      </w:r>
      <w:r w:rsidRPr="13C70224">
        <w:rPr>
          <w:rFonts w:eastAsia="Arial" w:cs="Arial"/>
        </w:rPr>
        <w:t xml:space="preserve"> (</w:t>
      </w:r>
      <w:r w:rsidR="2CA11083" w:rsidRPr="13C70224">
        <w:rPr>
          <w:rFonts w:eastAsia="Arial" w:cs="Arial"/>
        </w:rPr>
        <w:t>figure 8</w:t>
      </w:r>
      <w:r w:rsidRPr="13C70224">
        <w:rPr>
          <w:rFonts w:eastAsia="Arial" w:cs="Arial"/>
        </w:rPr>
        <w:t xml:space="preserve">). </w:t>
      </w:r>
    </w:p>
    <w:p w14:paraId="40F8FB64" w14:textId="77777777" w:rsidR="5B9BDBD6" w:rsidRDefault="6CD8FFE5" w:rsidP="13C70224">
      <w:pPr>
        <w:keepNext/>
        <w:spacing w:line="276" w:lineRule="auto"/>
        <w:jc w:val="both"/>
        <w:rPr>
          <w:rFonts w:eastAsia="Arial" w:cs="Arial"/>
        </w:rPr>
      </w:pPr>
      <w:r>
        <w:rPr>
          <w:noProof/>
        </w:rPr>
        <w:drawing>
          <wp:inline distT="0" distB="0" distL="0" distR="0" wp14:anchorId="3B25970B" wp14:editId="40583FA2">
            <wp:extent cx="5724525" cy="3714750"/>
            <wp:effectExtent l="0" t="0" r="9525" b="0"/>
            <wp:docPr id="183438454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876825" name=""/>
                    <pic:cNvPicPr/>
                  </pic:nvPicPr>
                  <pic:blipFill>
                    <a:blip r:embed="rId19" cstate="screen">
                      <a:extLst>
                        <a:ext uri="{28A0092B-C50C-407E-A947-70E740481C1C}">
                          <a14:useLocalDpi xmlns:a14="http://schemas.microsoft.com/office/drawing/2010/main"/>
                        </a:ext>
                      </a:extLst>
                    </a:blip>
                    <a:stretch>
                      <a:fillRect/>
                    </a:stretch>
                  </pic:blipFill>
                  <pic:spPr>
                    <a:xfrm>
                      <a:off x="0" y="0"/>
                      <a:ext cx="5724525" cy="3714750"/>
                    </a:xfrm>
                    <a:prstGeom prst="rect">
                      <a:avLst/>
                    </a:prstGeom>
                  </pic:spPr>
                </pic:pic>
              </a:graphicData>
            </a:graphic>
          </wp:inline>
        </w:drawing>
      </w:r>
    </w:p>
    <w:p w14:paraId="37BCD6FA" w14:textId="200E89CF" w:rsidR="5B9BDBD6" w:rsidRDefault="4B5FB355" w:rsidP="13C70224">
      <w:pPr>
        <w:pStyle w:val="Lgende"/>
        <w:spacing w:line="276" w:lineRule="auto"/>
        <w:jc w:val="both"/>
        <w:rPr>
          <w:rFonts w:eastAsia="Arial" w:cs="Arial"/>
        </w:rPr>
      </w:pPr>
      <w:r w:rsidRPr="3BFF6491">
        <w:rPr>
          <w:rFonts w:eastAsia="Arial" w:cs="Arial"/>
        </w:rPr>
        <w:t xml:space="preserve">Figure </w:t>
      </w:r>
      <w:r w:rsidR="6CD8FFE5" w:rsidRPr="3BFF6491">
        <w:rPr>
          <w:rFonts w:cs="Arial"/>
        </w:rPr>
        <w:fldChar w:fldCharType="begin"/>
      </w:r>
      <w:r w:rsidR="6CD8FFE5" w:rsidRPr="3BFF6491">
        <w:rPr>
          <w:rFonts w:cs="Arial"/>
        </w:rPr>
        <w:instrText xml:space="preserve"> SEQ Figure \* ARABIC </w:instrText>
      </w:r>
      <w:r w:rsidR="6CD8FFE5" w:rsidRPr="3BFF6491">
        <w:rPr>
          <w:rFonts w:cs="Arial"/>
        </w:rPr>
        <w:fldChar w:fldCharType="separate"/>
      </w:r>
      <w:r w:rsidR="3D3494DF" w:rsidRPr="3BFF6491">
        <w:rPr>
          <w:rFonts w:cs="Arial"/>
          <w:noProof/>
        </w:rPr>
        <w:t>8</w:t>
      </w:r>
      <w:r w:rsidR="6CD8FFE5" w:rsidRPr="3BFF6491">
        <w:rPr>
          <w:rFonts w:cs="Arial"/>
        </w:rPr>
        <w:fldChar w:fldCharType="end"/>
      </w:r>
      <w:r w:rsidRPr="3BFF6491">
        <w:rPr>
          <w:rFonts w:eastAsia="Arial" w:cs="Arial"/>
        </w:rPr>
        <w:t xml:space="preserve">. Carte de pH fournie par la solution Veris MSP3 pour la parcelle </w:t>
      </w:r>
      <w:proofErr w:type="spellStart"/>
      <w:r w:rsidRPr="3BFF6491">
        <w:rPr>
          <w:rFonts w:eastAsia="Arial" w:cs="Arial"/>
        </w:rPr>
        <w:t>ThAuto</w:t>
      </w:r>
      <w:proofErr w:type="spellEnd"/>
      <w:r w:rsidRPr="3BFF6491">
        <w:rPr>
          <w:rFonts w:eastAsia="Arial" w:cs="Arial"/>
        </w:rPr>
        <w:t xml:space="preserve"> (20.37 ha).</w:t>
      </w:r>
    </w:p>
    <w:p w14:paraId="4F09B3CB" w14:textId="69693731" w:rsidR="5B9BDBD6" w:rsidRDefault="6CD8FFE5" w:rsidP="13C70224">
      <w:pPr>
        <w:spacing w:line="276" w:lineRule="auto"/>
        <w:jc w:val="both"/>
        <w:rPr>
          <w:rFonts w:eastAsia="Arial" w:cs="Arial"/>
        </w:rPr>
      </w:pPr>
      <w:r w:rsidRPr="13C70224">
        <w:rPr>
          <w:rFonts w:eastAsia="Arial" w:cs="Arial"/>
        </w:rPr>
        <w:lastRenderedPageBreak/>
        <w:t xml:space="preserve">Ces cartes ont été mises à disposition du projet via le site </w:t>
      </w:r>
      <w:hyperlink r:id="rId20">
        <w:r w:rsidRPr="13C70224">
          <w:rPr>
            <w:rStyle w:val="Lienhypertexte"/>
            <w:rFonts w:eastAsia="Arial" w:cs="Arial"/>
          </w:rPr>
          <w:t>https://www.cartedemodulation.be</w:t>
        </w:r>
      </w:hyperlink>
      <w:r w:rsidRPr="13C70224">
        <w:rPr>
          <w:rFonts w:eastAsia="Arial" w:cs="Arial"/>
        </w:rPr>
        <w:t xml:space="preserve"> (CROPMAP), à la demande du CRA-W, dans le cadre d’un abonnement souscrit en complément de la solution.</w:t>
      </w:r>
    </w:p>
    <w:p w14:paraId="31B31E68" w14:textId="48DFBB74" w:rsidR="5B9BDBD6" w:rsidRDefault="5B9BDBD6" w:rsidP="13C70224">
      <w:pPr>
        <w:spacing w:line="276" w:lineRule="auto"/>
        <w:jc w:val="both"/>
        <w:rPr>
          <w:rFonts w:eastAsia="Arial" w:cs="Arial"/>
        </w:rPr>
      </w:pPr>
    </w:p>
    <w:p w14:paraId="0CB7AEE4" w14:textId="4209467C" w:rsidR="5B9BDBD6" w:rsidRDefault="6CD8FFE5" w:rsidP="13C70224">
      <w:pPr>
        <w:pStyle w:val="Titre4"/>
        <w:spacing w:line="276" w:lineRule="auto"/>
        <w:rPr>
          <w:rFonts w:eastAsia="Arial" w:cs="Arial"/>
        </w:rPr>
      </w:pPr>
      <w:r w:rsidRPr="13C70224">
        <w:rPr>
          <w:rFonts w:eastAsia="Arial" w:cs="Arial"/>
        </w:rPr>
        <w:t>InterraScan</w:t>
      </w:r>
    </w:p>
    <w:p w14:paraId="1F2E1A1E" w14:textId="7DD0A4BE" w:rsidR="5B9BDBD6" w:rsidRDefault="4B5FB355" w:rsidP="13C70224">
      <w:pPr>
        <w:spacing w:line="276" w:lineRule="auto"/>
        <w:jc w:val="both"/>
        <w:rPr>
          <w:rFonts w:eastAsia="Arial" w:cs="Arial"/>
        </w:rPr>
      </w:pPr>
      <w:r w:rsidRPr="13C70224">
        <w:rPr>
          <w:rFonts w:eastAsia="Arial" w:cs="Arial"/>
        </w:rPr>
        <w:t xml:space="preserve">Onze cartes de pH ont été fournies par la solution InterraScan et </w:t>
      </w:r>
      <w:r w:rsidR="774A37E0" w:rsidRPr="13C70224">
        <w:rPr>
          <w:rFonts w:eastAsia="Arial" w:cs="Arial"/>
        </w:rPr>
        <w:t>un exemple de carte est présenté ci-après</w:t>
      </w:r>
      <w:r w:rsidRPr="13C70224">
        <w:rPr>
          <w:rFonts w:eastAsia="Arial" w:cs="Arial"/>
        </w:rPr>
        <w:t xml:space="preserve"> (</w:t>
      </w:r>
      <w:r w:rsidR="74AA062D" w:rsidRPr="13C70224">
        <w:rPr>
          <w:rFonts w:eastAsia="Arial" w:cs="Arial"/>
        </w:rPr>
        <w:t>figure 9</w:t>
      </w:r>
      <w:r w:rsidRPr="13C70224">
        <w:rPr>
          <w:rFonts w:eastAsia="Arial" w:cs="Arial"/>
        </w:rPr>
        <w:t xml:space="preserve">). </w:t>
      </w:r>
    </w:p>
    <w:p w14:paraId="6B2342F1" w14:textId="77777777" w:rsidR="5B9BDBD6" w:rsidRDefault="6CD8FFE5" w:rsidP="13C70224">
      <w:pPr>
        <w:keepNext/>
        <w:spacing w:line="276" w:lineRule="auto"/>
        <w:jc w:val="both"/>
        <w:rPr>
          <w:rFonts w:eastAsia="Arial" w:cs="Arial"/>
        </w:rPr>
      </w:pPr>
      <w:r>
        <w:rPr>
          <w:noProof/>
        </w:rPr>
        <w:drawing>
          <wp:inline distT="0" distB="0" distL="0" distR="0" wp14:anchorId="1CE2296D" wp14:editId="14E7FA0A">
            <wp:extent cx="5724525" cy="3971925"/>
            <wp:effectExtent l="0" t="0" r="9525" b="9525"/>
            <wp:docPr id="190647703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709407" name=""/>
                    <pic:cNvPicPr/>
                  </pic:nvPicPr>
                  <pic:blipFill>
                    <a:blip r:embed="rId21" cstate="screen">
                      <a:extLst>
                        <a:ext uri="{28A0092B-C50C-407E-A947-70E740481C1C}">
                          <a14:useLocalDpi xmlns:a14="http://schemas.microsoft.com/office/drawing/2010/main"/>
                        </a:ext>
                      </a:extLst>
                    </a:blip>
                    <a:stretch>
                      <a:fillRect/>
                    </a:stretch>
                  </pic:blipFill>
                  <pic:spPr>
                    <a:xfrm>
                      <a:off x="0" y="0"/>
                      <a:ext cx="5724525" cy="3971925"/>
                    </a:xfrm>
                    <a:prstGeom prst="rect">
                      <a:avLst/>
                    </a:prstGeom>
                  </pic:spPr>
                </pic:pic>
              </a:graphicData>
            </a:graphic>
          </wp:inline>
        </w:drawing>
      </w:r>
    </w:p>
    <w:p w14:paraId="1D976EA4" w14:textId="744B45DA" w:rsidR="5B9BDBD6" w:rsidRDefault="4B5FB355" w:rsidP="13C70224">
      <w:pPr>
        <w:pStyle w:val="Lgende"/>
        <w:spacing w:line="276" w:lineRule="auto"/>
        <w:jc w:val="both"/>
        <w:rPr>
          <w:rFonts w:eastAsia="Arial" w:cs="Arial"/>
        </w:rPr>
      </w:pPr>
      <w:r w:rsidRPr="3BFF6491">
        <w:rPr>
          <w:rFonts w:eastAsia="Arial" w:cs="Arial"/>
        </w:rPr>
        <w:t xml:space="preserve">Figure </w:t>
      </w:r>
      <w:r w:rsidR="153739A9" w:rsidRPr="3BFF6491">
        <w:rPr>
          <w:rFonts w:eastAsia="Arial" w:cs="Arial"/>
        </w:rPr>
        <w:t>9</w:t>
      </w:r>
      <w:r w:rsidRPr="3BFF6491">
        <w:rPr>
          <w:rFonts w:eastAsia="Arial" w:cs="Arial"/>
        </w:rPr>
        <w:t xml:space="preserve">. Carte de pH fournie par la solution InterraScan pour la parcelle </w:t>
      </w:r>
      <w:proofErr w:type="spellStart"/>
      <w:r w:rsidRPr="3BFF6491">
        <w:rPr>
          <w:rFonts w:eastAsia="Arial" w:cs="Arial"/>
        </w:rPr>
        <w:t>ThAuto</w:t>
      </w:r>
      <w:proofErr w:type="spellEnd"/>
      <w:r w:rsidRPr="3BFF6491">
        <w:rPr>
          <w:rFonts w:eastAsia="Arial" w:cs="Arial"/>
        </w:rPr>
        <w:t xml:space="preserve"> (20.37 ha).</w:t>
      </w:r>
    </w:p>
    <w:p w14:paraId="092C1D5F" w14:textId="32AE509D" w:rsidR="5B9BDBD6" w:rsidRDefault="4B5FB355" w:rsidP="13C70224">
      <w:pPr>
        <w:spacing w:line="276" w:lineRule="auto"/>
        <w:jc w:val="both"/>
        <w:rPr>
          <w:rFonts w:eastAsia="Arial" w:cs="Arial"/>
        </w:rPr>
      </w:pPr>
      <w:r w:rsidRPr="3BFF6491">
        <w:rPr>
          <w:rFonts w:eastAsia="Arial" w:cs="Arial"/>
        </w:rPr>
        <w:t xml:space="preserve">Cartes de pH fournies par la solution InterraScan. Ces cartes sont directement disponibles sur la plateforme </w:t>
      </w:r>
      <w:hyperlink r:id="rId22">
        <w:r w:rsidRPr="3BFF6491">
          <w:rPr>
            <w:rStyle w:val="Lienhypertexte"/>
            <w:rFonts w:eastAsia="Arial" w:cs="Arial"/>
          </w:rPr>
          <w:t>https://www.interrascan.com</w:t>
        </w:r>
      </w:hyperlink>
      <w:r w:rsidRPr="3BFF6491">
        <w:rPr>
          <w:rFonts w:eastAsia="Arial" w:cs="Arial"/>
        </w:rPr>
        <w:t>.</w:t>
      </w:r>
    </w:p>
    <w:p w14:paraId="05E268B3" w14:textId="76FA296A" w:rsidR="5B9BDBD6" w:rsidRDefault="5B9BDBD6" w:rsidP="13C70224">
      <w:pPr>
        <w:spacing w:line="276" w:lineRule="auto"/>
        <w:jc w:val="both"/>
        <w:rPr>
          <w:rFonts w:eastAsia="Arial" w:cs="Arial"/>
        </w:rPr>
      </w:pPr>
    </w:p>
    <w:p w14:paraId="6E745BC8" w14:textId="13F38FD6" w:rsidR="5B9BDBD6" w:rsidRDefault="6CD8FFE5" w:rsidP="13C70224">
      <w:pPr>
        <w:pStyle w:val="Titre3"/>
        <w:spacing w:line="276" w:lineRule="auto"/>
        <w:rPr>
          <w:rFonts w:eastAsia="Arial" w:cs="Arial"/>
          <w:sz w:val="24"/>
          <w:szCs w:val="24"/>
        </w:rPr>
      </w:pPr>
      <w:r w:rsidRPr="13C70224">
        <w:rPr>
          <w:rFonts w:eastAsia="Arial" w:cs="Arial"/>
        </w:rPr>
        <w:t>Interprétations données mesurées</w:t>
      </w:r>
    </w:p>
    <w:p w14:paraId="2FAEC145" w14:textId="745EFB44" w:rsidR="5B9BDBD6" w:rsidRDefault="6CD8FFE5" w:rsidP="13C70224">
      <w:pPr>
        <w:pStyle w:val="Titre4"/>
        <w:spacing w:line="276" w:lineRule="auto"/>
        <w:rPr>
          <w:rFonts w:eastAsia="Arial" w:cs="Arial"/>
        </w:rPr>
      </w:pPr>
      <w:r w:rsidRPr="13C70224">
        <w:rPr>
          <w:rFonts w:eastAsia="Arial" w:cs="Arial"/>
        </w:rPr>
        <w:t>Référence</w:t>
      </w:r>
    </w:p>
    <w:p w14:paraId="7E684E47" w14:textId="6C77934E" w:rsidR="5B9BDBD6" w:rsidRDefault="4B5FB355" w:rsidP="3BFF6491">
      <w:pPr>
        <w:spacing w:line="276" w:lineRule="auto"/>
        <w:rPr>
          <w:rFonts w:eastAsia="Arial" w:cs="Arial"/>
        </w:rPr>
      </w:pPr>
      <w:r w:rsidRPr="3BFF6491">
        <w:rPr>
          <w:rFonts w:eastAsia="Arial" w:cs="Arial"/>
        </w:rPr>
        <w:t>Le laboratoire BDB fourni une interprétation des valeurs de pH-KCl obtenues et considère que sur un sol limoneux le pH est favorable si celui-ci est compris entre 6.7 et 7.3</w:t>
      </w:r>
      <w:r w:rsidR="687230C1" w:rsidRPr="3BFF6491">
        <w:rPr>
          <w:rFonts w:eastAsia="Arial" w:cs="Arial"/>
        </w:rPr>
        <w:t xml:space="preserve"> (BDB 2021)</w:t>
      </w:r>
      <w:r w:rsidRPr="3BFF6491">
        <w:rPr>
          <w:rFonts w:eastAsia="Arial" w:cs="Arial"/>
        </w:rPr>
        <w:t xml:space="preserve">. BDB, dans son rapport, précise que les recommandations de chaulage visent à atteindre la valeur supérieure de la plage de valeurs optimales. Il précise aussi que la zone favorable de pH est une indication pour des cultures type betteraves ou orge mais que certaine culture nécessite un pH moins élevé. </w:t>
      </w:r>
    </w:p>
    <w:p w14:paraId="44D1BEAA" w14:textId="0A59906D" w:rsidR="5B9BDBD6" w:rsidRDefault="5B9BDBD6" w:rsidP="13C70224">
      <w:pPr>
        <w:spacing w:line="276" w:lineRule="auto"/>
        <w:jc w:val="both"/>
        <w:rPr>
          <w:rFonts w:eastAsia="Arial" w:cs="Arial"/>
        </w:rPr>
      </w:pPr>
    </w:p>
    <w:p w14:paraId="39A38885" w14:textId="03A90BC7" w:rsidR="5B9BDBD6" w:rsidRDefault="6CD8FFE5" w:rsidP="13C70224">
      <w:pPr>
        <w:pStyle w:val="Titre4"/>
        <w:spacing w:line="276" w:lineRule="auto"/>
        <w:rPr>
          <w:rFonts w:eastAsia="Arial" w:cs="Arial"/>
        </w:rPr>
      </w:pPr>
      <w:r w:rsidRPr="13C70224">
        <w:rPr>
          <w:rFonts w:eastAsia="Arial" w:cs="Arial"/>
        </w:rPr>
        <w:lastRenderedPageBreak/>
        <w:t>Veris MSP3</w:t>
      </w:r>
    </w:p>
    <w:p w14:paraId="1D26D263" w14:textId="2048D0EB" w:rsidR="5B9BDBD6" w:rsidRDefault="6CD8FFE5" w:rsidP="13C70224">
      <w:pPr>
        <w:spacing w:line="276" w:lineRule="auto"/>
        <w:jc w:val="both"/>
        <w:rPr>
          <w:rFonts w:eastAsia="Arial" w:cs="Arial"/>
        </w:rPr>
      </w:pPr>
      <w:r w:rsidRPr="13C70224">
        <w:rPr>
          <w:rFonts w:eastAsia="Arial" w:cs="Arial"/>
        </w:rPr>
        <w:t>Les cartes de préconisation de chaulage issues de la solution Veris MSP3 sont établies selon les procédures internes de la solution, à la demande de l’agriculteur, une fois la cartographie du sol réalisée.</w:t>
      </w:r>
    </w:p>
    <w:p w14:paraId="698C4EF9" w14:textId="700AB228" w:rsidR="5B9BDBD6" w:rsidRDefault="5B9BDBD6" w:rsidP="13C70224">
      <w:pPr>
        <w:spacing w:line="276" w:lineRule="auto"/>
        <w:jc w:val="both"/>
        <w:rPr>
          <w:rFonts w:eastAsia="Arial" w:cs="Arial"/>
        </w:rPr>
      </w:pPr>
    </w:p>
    <w:p w14:paraId="2E9E9446" w14:textId="1FEC5F91" w:rsidR="5B9BDBD6" w:rsidRDefault="6CD8FFE5" w:rsidP="13C70224">
      <w:pPr>
        <w:pStyle w:val="Titre4"/>
        <w:spacing w:line="276" w:lineRule="auto"/>
        <w:rPr>
          <w:rFonts w:eastAsia="Arial" w:cs="Arial"/>
        </w:rPr>
      </w:pPr>
      <w:r w:rsidRPr="13C70224">
        <w:rPr>
          <w:rFonts w:eastAsia="Arial" w:cs="Arial"/>
        </w:rPr>
        <w:t>InterraScan</w:t>
      </w:r>
    </w:p>
    <w:p w14:paraId="06FF5ACC" w14:textId="16403CCA" w:rsidR="5B9BDBD6" w:rsidRDefault="6CD8FFE5" w:rsidP="13C70224">
      <w:pPr>
        <w:spacing w:line="276" w:lineRule="auto"/>
        <w:jc w:val="both"/>
        <w:rPr>
          <w:rFonts w:eastAsia="Arial" w:cs="Arial"/>
        </w:rPr>
      </w:pPr>
      <w:r w:rsidRPr="13C70224">
        <w:rPr>
          <w:rFonts w:eastAsia="Arial" w:cs="Arial"/>
        </w:rPr>
        <w:t>Pour la solution InterraScan, la carte de préconisation de chaulage est élaborée lors d’un échange entre les agronomes de la solution et l’agriculteur. Ensemble, ils déterminent les doses à appliquer en s’appuyant sur les cartes de pH générées par InterraScan, à l’aide de l’outil en ligne de création de cartes de modulation fourni par la solution.</w:t>
      </w:r>
    </w:p>
    <w:p w14:paraId="255C87D2" w14:textId="38307073" w:rsidR="5B9BDBD6" w:rsidRDefault="5B9BDBD6" w:rsidP="13C70224">
      <w:pPr>
        <w:spacing w:line="276" w:lineRule="auto"/>
        <w:jc w:val="both"/>
        <w:rPr>
          <w:rFonts w:eastAsia="Arial" w:cs="Arial"/>
        </w:rPr>
      </w:pPr>
    </w:p>
    <w:p w14:paraId="627C814A" w14:textId="54A6C9F0" w:rsidR="5B9BDBD6" w:rsidRDefault="6CD8FFE5" w:rsidP="13C70224">
      <w:pPr>
        <w:pStyle w:val="Titre3"/>
        <w:spacing w:line="276" w:lineRule="auto"/>
        <w:rPr>
          <w:rFonts w:eastAsia="Arial" w:cs="Arial"/>
          <w:sz w:val="24"/>
          <w:szCs w:val="24"/>
        </w:rPr>
      </w:pPr>
      <w:r w:rsidRPr="13C70224">
        <w:rPr>
          <w:rFonts w:eastAsia="Arial" w:cs="Arial"/>
        </w:rPr>
        <w:t>Carte de prescription obtenues</w:t>
      </w:r>
    </w:p>
    <w:p w14:paraId="299A4601" w14:textId="710757B9" w:rsidR="5B9BDBD6" w:rsidRDefault="6CD8FFE5" w:rsidP="13C70224">
      <w:pPr>
        <w:pStyle w:val="Titre4"/>
        <w:spacing w:line="276" w:lineRule="auto"/>
        <w:rPr>
          <w:rFonts w:eastAsia="Arial" w:cs="Arial"/>
        </w:rPr>
      </w:pPr>
      <w:r w:rsidRPr="13C70224">
        <w:rPr>
          <w:rFonts w:eastAsia="Arial" w:cs="Arial"/>
        </w:rPr>
        <w:t>Référence</w:t>
      </w:r>
    </w:p>
    <w:p w14:paraId="59DFB407" w14:textId="3903DCC9" w:rsidR="5B9BDBD6" w:rsidRDefault="6CD8FFE5" w:rsidP="13C70224">
      <w:pPr>
        <w:spacing w:line="276" w:lineRule="auto"/>
        <w:jc w:val="both"/>
        <w:rPr>
          <w:rFonts w:eastAsia="Arial" w:cs="Arial"/>
        </w:rPr>
      </w:pPr>
      <w:r w:rsidRPr="13C70224">
        <w:rPr>
          <w:rFonts w:eastAsia="Arial" w:cs="Arial"/>
        </w:rPr>
        <w:t>Non applicable ici.</w:t>
      </w:r>
    </w:p>
    <w:p w14:paraId="115CDA85" w14:textId="111BF411" w:rsidR="5B9BDBD6" w:rsidRDefault="5B9BDBD6" w:rsidP="13C70224">
      <w:pPr>
        <w:spacing w:line="276" w:lineRule="auto"/>
        <w:jc w:val="both"/>
        <w:rPr>
          <w:rFonts w:eastAsia="Arial" w:cs="Arial"/>
        </w:rPr>
      </w:pPr>
    </w:p>
    <w:p w14:paraId="59824C9F" w14:textId="03A90BC7" w:rsidR="5B9BDBD6" w:rsidRDefault="6CD8FFE5" w:rsidP="13C70224">
      <w:pPr>
        <w:pStyle w:val="Titre4"/>
        <w:spacing w:line="276" w:lineRule="auto"/>
        <w:rPr>
          <w:rFonts w:eastAsia="Arial" w:cs="Arial"/>
        </w:rPr>
      </w:pPr>
      <w:r w:rsidRPr="13C70224">
        <w:rPr>
          <w:rFonts w:eastAsia="Arial" w:cs="Arial"/>
        </w:rPr>
        <w:t>Veris MSP3</w:t>
      </w:r>
    </w:p>
    <w:p w14:paraId="64E487B9" w14:textId="28EADF45" w:rsidR="5B9BDBD6" w:rsidRDefault="4B5FB355" w:rsidP="13C70224">
      <w:pPr>
        <w:spacing w:before="240" w:after="240" w:line="276" w:lineRule="auto"/>
        <w:jc w:val="both"/>
        <w:rPr>
          <w:rFonts w:eastAsia="Arial" w:cs="Arial"/>
        </w:rPr>
      </w:pPr>
      <w:r w:rsidRPr="13C70224">
        <w:rPr>
          <w:rFonts w:eastAsia="Arial" w:cs="Arial"/>
        </w:rPr>
        <w:t xml:space="preserve">En se basant sur les bornes de pH (6,7–7,3) définies par le laboratoire BDB pour qualifier un sol comme favorable, trop acide ou trop basique, les cartes générées par la solution Veris MSP3 ont été classées selon ces trois catégories. Les cartes obtenues sont présentées dans la </w:t>
      </w:r>
      <w:r w:rsidR="3F5237A7" w:rsidRPr="13C70224">
        <w:rPr>
          <w:rFonts w:eastAsia="Arial" w:cs="Arial"/>
        </w:rPr>
        <w:t>figure 10</w:t>
      </w:r>
      <w:r w:rsidRPr="13C70224">
        <w:rPr>
          <w:rFonts w:eastAsia="Arial" w:cs="Arial"/>
        </w:rPr>
        <w:t>.</w:t>
      </w:r>
    </w:p>
    <w:p w14:paraId="4E367455" w14:textId="77777777" w:rsidR="5B9BDBD6" w:rsidRDefault="6CD8FFE5" w:rsidP="32E96E3F">
      <w:pPr>
        <w:keepNext/>
        <w:spacing w:line="276" w:lineRule="auto"/>
        <w:jc w:val="center"/>
        <w:rPr>
          <w:rFonts w:eastAsia="Arial" w:cs="Arial"/>
        </w:rPr>
      </w:pPr>
      <w:r>
        <w:rPr>
          <w:noProof/>
        </w:rPr>
        <w:lastRenderedPageBreak/>
        <w:drawing>
          <wp:inline distT="0" distB="0" distL="0" distR="0" wp14:anchorId="6C0EDB84" wp14:editId="29529667">
            <wp:extent cx="4682526" cy="4317624"/>
            <wp:effectExtent l="0" t="0" r="3810" b="6985"/>
            <wp:docPr id="172886958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98886" name=""/>
                    <pic:cNvPicPr/>
                  </pic:nvPicPr>
                  <pic:blipFill>
                    <a:blip r:embed="rId23" cstate="screen">
                      <a:extLst>
                        <a:ext uri="{28A0092B-C50C-407E-A947-70E740481C1C}">
                          <a14:useLocalDpi xmlns:a14="http://schemas.microsoft.com/office/drawing/2010/main"/>
                        </a:ext>
                      </a:extLst>
                    </a:blip>
                    <a:stretch>
                      <a:fillRect/>
                    </a:stretch>
                  </pic:blipFill>
                  <pic:spPr>
                    <a:xfrm>
                      <a:off x="0" y="0"/>
                      <a:ext cx="4682526" cy="4317624"/>
                    </a:xfrm>
                    <a:prstGeom prst="rect">
                      <a:avLst/>
                    </a:prstGeom>
                  </pic:spPr>
                </pic:pic>
              </a:graphicData>
            </a:graphic>
          </wp:inline>
        </w:drawing>
      </w:r>
    </w:p>
    <w:p w14:paraId="72D7BCD0" w14:textId="5D8F213F" w:rsidR="5B9BDBD6" w:rsidRDefault="4B5FB355" w:rsidP="13C70224">
      <w:pPr>
        <w:pStyle w:val="Lgende"/>
        <w:spacing w:line="276" w:lineRule="auto"/>
        <w:jc w:val="both"/>
        <w:rPr>
          <w:rFonts w:eastAsia="Arial" w:cs="Arial"/>
        </w:rPr>
      </w:pPr>
      <w:r w:rsidRPr="3BFF6491">
        <w:rPr>
          <w:rFonts w:eastAsia="Arial" w:cs="Arial"/>
        </w:rPr>
        <w:t xml:space="preserve">Figure </w:t>
      </w:r>
      <w:r w:rsidR="59A57888" w:rsidRPr="3BFF6491">
        <w:rPr>
          <w:rFonts w:eastAsia="Arial" w:cs="Arial"/>
        </w:rPr>
        <w:t>10</w:t>
      </w:r>
      <w:r w:rsidRPr="3BFF6491">
        <w:rPr>
          <w:rFonts w:eastAsia="Arial" w:cs="Arial"/>
        </w:rPr>
        <w:t>. Cartes du pH du sols classées en trois catégories, obtenues à partir de l’interprétation des cartes fournies par la solution Veris MSP3. Les valeurs de pH ont été regroupées en trois classes : sols trop acides (pH &lt; 6,7, en orange), sols à pH favorable (6,7 ≤ pH ≤ 7,3, en vert) et sols trop basiques (pH &gt; 7,3, en bleu). Une maille de 100 m × 100 m (soit 1 ha) est présente sur chacune des cartes des parcelles du projet.</w:t>
      </w:r>
    </w:p>
    <w:p w14:paraId="2324BAF4" w14:textId="43E32DCC" w:rsidR="5B9BDBD6" w:rsidRDefault="4B5FB355" w:rsidP="13C70224">
      <w:pPr>
        <w:spacing w:line="276" w:lineRule="auto"/>
        <w:jc w:val="both"/>
        <w:rPr>
          <w:rFonts w:eastAsia="Arial" w:cs="Arial"/>
        </w:rPr>
      </w:pPr>
      <w:r w:rsidRPr="13C70224">
        <w:rPr>
          <w:rFonts w:eastAsia="Arial" w:cs="Arial"/>
        </w:rPr>
        <w:t xml:space="preserve">La parcelle </w:t>
      </w:r>
      <w:proofErr w:type="spellStart"/>
      <w:r w:rsidRPr="13C70224">
        <w:rPr>
          <w:rFonts w:eastAsia="Arial" w:cs="Arial"/>
        </w:rPr>
        <w:t>ThAuto</w:t>
      </w:r>
      <w:proofErr w:type="spellEnd"/>
      <w:r w:rsidRPr="13C70224">
        <w:rPr>
          <w:rFonts w:eastAsia="Arial" w:cs="Arial"/>
        </w:rPr>
        <w:t xml:space="preserve"> présente à la fois des zones à pH trop acide, nécessitant un épandage de redressement, et des zones favorables, pour lesquelles seul un épandage d’entretien est requis. Cette hétérogénéité a motivé le choix de </w:t>
      </w:r>
      <w:proofErr w:type="spellStart"/>
      <w:r w:rsidRPr="13C70224">
        <w:rPr>
          <w:rFonts w:eastAsia="Arial" w:cs="Arial"/>
        </w:rPr>
        <w:t>ThAuto</w:t>
      </w:r>
      <w:proofErr w:type="spellEnd"/>
      <w:r w:rsidRPr="13C70224">
        <w:rPr>
          <w:rFonts w:eastAsia="Arial" w:cs="Arial"/>
        </w:rPr>
        <w:t xml:space="preserve"> pour la mise en œuvre d’une modulation d’écume de sucrerie. Une carte d’application a donc été demandée à la solution Veris MSP3 et est présentée dans la </w:t>
      </w:r>
      <w:r w:rsidR="26B1828F" w:rsidRPr="13C70224">
        <w:rPr>
          <w:rFonts w:eastAsia="Arial" w:cs="Arial"/>
        </w:rPr>
        <w:t>figure 11</w:t>
      </w:r>
      <w:r w:rsidRPr="13C70224">
        <w:rPr>
          <w:rFonts w:eastAsia="Arial" w:cs="Arial"/>
        </w:rPr>
        <w:t>.</w:t>
      </w:r>
    </w:p>
    <w:p w14:paraId="00B5AB30" w14:textId="0AB67D3C" w:rsidR="5B9BDBD6" w:rsidRDefault="5B9BDBD6" w:rsidP="13C70224">
      <w:pPr>
        <w:keepNext/>
        <w:spacing w:line="276" w:lineRule="auto"/>
        <w:jc w:val="both"/>
        <w:rPr>
          <w:rFonts w:eastAsia="Arial" w:cs="Arial"/>
        </w:rPr>
      </w:pPr>
    </w:p>
    <w:p w14:paraId="23D760DD" w14:textId="77777777" w:rsidR="5B9BDBD6" w:rsidRDefault="6CD8FFE5" w:rsidP="13C70224">
      <w:pPr>
        <w:keepNext/>
        <w:spacing w:line="276" w:lineRule="auto"/>
        <w:jc w:val="both"/>
        <w:rPr>
          <w:rFonts w:eastAsia="Arial" w:cs="Arial"/>
        </w:rPr>
      </w:pPr>
      <w:r>
        <w:rPr>
          <w:noProof/>
        </w:rPr>
        <w:drawing>
          <wp:inline distT="0" distB="0" distL="0" distR="0" wp14:anchorId="3CB46BCD" wp14:editId="795C1C94">
            <wp:extent cx="5724525" cy="3867150"/>
            <wp:effectExtent l="0" t="0" r="9525" b="0"/>
            <wp:docPr id="74113091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68374" name=""/>
                    <pic:cNvPicPr/>
                  </pic:nvPicPr>
                  <pic:blipFill>
                    <a:blip r:embed="rId24" cstate="screen">
                      <a:extLst>
                        <a:ext uri="{28A0092B-C50C-407E-A947-70E740481C1C}">
                          <a14:useLocalDpi xmlns:a14="http://schemas.microsoft.com/office/drawing/2010/main"/>
                        </a:ext>
                      </a:extLst>
                    </a:blip>
                    <a:stretch>
                      <a:fillRect/>
                    </a:stretch>
                  </pic:blipFill>
                  <pic:spPr>
                    <a:xfrm>
                      <a:off x="0" y="0"/>
                      <a:ext cx="5724525" cy="3867150"/>
                    </a:xfrm>
                    <a:prstGeom prst="rect">
                      <a:avLst/>
                    </a:prstGeom>
                  </pic:spPr>
                </pic:pic>
              </a:graphicData>
            </a:graphic>
          </wp:inline>
        </w:drawing>
      </w:r>
    </w:p>
    <w:p w14:paraId="65A7CB29" w14:textId="03A1B41E" w:rsidR="5B9BDBD6" w:rsidRDefault="4B5FB355" w:rsidP="13C70224">
      <w:pPr>
        <w:pStyle w:val="Lgende"/>
        <w:spacing w:line="276" w:lineRule="auto"/>
        <w:jc w:val="both"/>
        <w:rPr>
          <w:rFonts w:eastAsia="Arial" w:cs="Arial"/>
        </w:rPr>
      </w:pPr>
      <w:r w:rsidRPr="3BFF6491">
        <w:rPr>
          <w:rFonts w:eastAsia="Arial" w:cs="Arial"/>
        </w:rPr>
        <w:t xml:space="preserve">Figure </w:t>
      </w:r>
      <w:r w:rsidR="071F09C8" w:rsidRPr="3BFF6491">
        <w:rPr>
          <w:rFonts w:eastAsia="Arial" w:cs="Arial"/>
        </w:rPr>
        <w:t>11</w:t>
      </w:r>
      <w:r w:rsidRPr="3BFF6491">
        <w:rPr>
          <w:rFonts w:eastAsia="Arial" w:cs="Arial"/>
        </w:rPr>
        <w:t xml:space="preserve">. Carte de prescription d’écume de sucrerie fournie par la solution Veris MSP3 pour la parcelle </w:t>
      </w:r>
      <w:proofErr w:type="spellStart"/>
      <w:r w:rsidRPr="3BFF6491">
        <w:rPr>
          <w:rFonts w:eastAsia="Arial" w:cs="Arial"/>
        </w:rPr>
        <w:t>ThAuto</w:t>
      </w:r>
      <w:proofErr w:type="spellEnd"/>
      <w:r w:rsidRPr="3BFF6491">
        <w:rPr>
          <w:rFonts w:eastAsia="Arial" w:cs="Arial"/>
        </w:rPr>
        <w:t xml:space="preserve"> (20,37ha).</w:t>
      </w:r>
    </w:p>
    <w:p w14:paraId="6D578443" w14:textId="5A2BED93" w:rsidR="5B9BDBD6" w:rsidRDefault="4B5FB355" w:rsidP="13C70224">
      <w:pPr>
        <w:spacing w:line="276" w:lineRule="auto"/>
        <w:jc w:val="both"/>
        <w:rPr>
          <w:rFonts w:eastAsia="Arial" w:cs="Arial"/>
          <w:highlight w:val="yellow"/>
        </w:rPr>
      </w:pPr>
      <w:r w:rsidRPr="13C70224">
        <w:rPr>
          <w:rFonts w:eastAsia="Arial" w:cs="Arial"/>
        </w:rPr>
        <w:t>En l’absence d’un épandeur capable de moduler automatiquement (matériel en panne la semaine ou l’écume de sucrerie devait être appliquée), des modulations de dose simplifiées ont été réalisées sur cette parcelle. En effet, la carte de prescription fournie par la solution Veris MSP3 a été retravaillée et simplifiée afin de définir trois zones associées à trois doses différentes (</w:t>
      </w:r>
      <w:r w:rsidR="36EA482A" w:rsidRPr="13C70224">
        <w:rPr>
          <w:rFonts w:eastAsia="Arial" w:cs="Arial"/>
        </w:rPr>
        <w:t>figure 12</w:t>
      </w:r>
      <w:r w:rsidRPr="13C70224">
        <w:rPr>
          <w:rFonts w:eastAsia="Arial" w:cs="Arial"/>
        </w:rPr>
        <w:t xml:space="preserve">). </w:t>
      </w:r>
    </w:p>
    <w:p w14:paraId="3BAF5237" w14:textId="1DAF863C" w:rsidR="5B9BDBD6" w:rsidRDefault="5B9BDBD6" w:rsidP="13C70224">
      <w:pPr>
        <w:spacing w:line="276" w:lineRule="auto"/>
        <w:jc w:val="both"/>
        <w:rPr>
          <w:rFonts w:eastAsia="Arial" w:cs="Arial"/>
        </w:rPr>
      </w:pPr>
    </w:p>
    <w:p w14:paraId="4B85F3AF" w14:textId="77777777" w:rsidR="5B9BDBD6" w:rsidRDefault="6CD8FFE5" w:rsidP="13C70224">
      <w:pPr>
        <w:keepNext/>
        <w:spacing w:line="276" w:lineRule="auto"/>
        <w:jc w:val="both"/>
        <w:rPr>
          <w:rFonts w:eastAsia="Arial" w:cs="Arial"/>
        </w:rPr>
      </w:pPr>
      <w:r>
        <w:rPr>
          <w:noProof/>
        </w:rPr>
        <w:lastRenderedPageBreak/>
        <w:drawing>
          <wp:inline distT="0" distB="0" distL="0" distR="0" wp14:anchorId="5F7D9264" wp14:editId="5EBF042A">
            <wp:extent cx="5724525" cy="3219450"/>
            <wp:effectExtent l="0" t="0" r="9525" b="0"/>
            <wp:docPr id="55436037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9083" name=""/>
                    <pic:cNvPicPr/>
                  </pic:nvPicPr>
                  <pic:blipFill>
                    <a:blip r:embed="rId25" cstate="screen">
                      <a:extLst>
                        <a:ext uri="{28A0092B-C50C-407E-A947-70E740481C1C}">
                          <a14:useLocalDpi xmlns:a14="http://schemas.microsoft.com/office/drawing/2010/main"/>
                        </a:ext>
                      </a:extLst>
                    </a:blip>
                    <a:stretch>
                      <a:fillRect/>
                    </a:stretch>
                  </pic:blipFill>
                  <pic:spPr>
                    <a:xfrm>
                      <a:off x="0" y="0"/>
                      <a:ext cx="5724525" cy="3219450"/>
                    </a:xfrm>
                    <a:prstGeom prst="rect">
                      <a:avLst/>
                    </a:prstGeom>
                  </pic:spPr>
                </pic:pic>
              </a:graphicData>
            </a:graphic>
          </wp:inline>
        </w:drawing>
      </w:r>
    </w:p>
    <w:p w14:paraId="260216D6" w14:textId="488BE5AF" w:rsidR="5B9BDBD6" w:rsidRDefault="4B5FB355" w:rsidP="13C70224">
      <w:pPr>
        <w:pStyle w:val="Lgende"/>
        <w:spacing w:line="276" w:lineRule="auto"/>
        <w:jc w:val="both"/>
        <w:rPr>
          <w:rFonts w:eastAsia="Arial" w:cs="Arial"/>
        </w:rPr>
      </w:pPr>
      <w:r w:rsidRPr="3BFF6491">
        <w:rPr>
          <w:rFonts w:eastAsia="Arial" w:cs="Arial"/>
        </w:rPr>
        <w:t xml:space="preserve">Figure </w:t>
      </w:r>
      <w:r w:rsidR="2426FC1C" w:rsidRPr="3BFF6491">
        <w:rPr>
          <w:rFonts w:eastAsia="Arial" w:cs="Arial"/>
        </w:rPr>
        <w:t>12</w:t>
      </w:r>
      <w:r w:rsidRPr="3BFF6491">
        <w:rPr>
          <w:rFonts w:eastAsia="Arial" w:cs="Arial"/>
        </w:rPr>
        <w:t>. Exemple de transformation d’une carte de prescription fournie par la solution Veris MSP3 et la carte de prescription simplifiée réellement utilisé lors de l’application.</w:t>
      </w:r>
    </w:p>
    <w:p w14:paraId="53572E9E" w14:textId="2D2C3B2F" w:rsidR="5B9BDBD6" w:rsidRDefault="6CD8FFE5" w:rsidP="13C70224">
      <w:pPr>
        <w:spacing w:line="276" w:lineRule="auto"/>
        <w:jc w:val="both"/>
        <w:rPr>
          <w:rFonts w:eastAsia="Arial" w:cs="Arial"/>
        </w:rPr>
      </w:pPr>
      <w:r w:rsidRPr="13C70224">
        <w:rPr>
          <w:rFonts w:eastAsia="Arial" w:cs="Arial"/>
        </w:rPr>
        <w:t xml:space="preserve">La quantité totale d’écume prescrite avec ces deux cartes étaient néanmoins identique. Préalablement à l’épandage, deux drapeaux ont été positionnés sur la parcelle pour délimiter les trois zones et guider le chauffeur pendant l’opération. </w:t>
      </w:r>
    </w:p>
    <w:p w14:paraId="0E6F2912" w14:textId="4318B779" w:rsidR="5B9BDBD6" w:rsidRDefault="5B9BDBD6" w:rsidP="13C70224">
      <w:pPr>
        <w:spacing w:line="276" w:lineRule="auto"/>
        <w:jc w:val="both"/>
        <w:rPr>
          <w:rFonts w:eastAsia="Arial" w:cs="Arial"/>
        </w:rPr>
      </w:pPr>
    </w:p>
    <w:p w14:paraId="13110F43" w14:textId="0B808B95" w:rsidR="5B9BDBD6" w:rsidRDefault="6CD8FFE5" w:rsidP="13C70224">
      <w:pPr>
        <w:pStyle w:val="Titre4"/>
        <w:spacing w:line="276" w:lineRule="auto"/>
        <w:rPr>
          <w:rFonts w:eastAsia="Arial" w:cs="Arial"/>
        </w:rPr>
      </w:pPr>
      <w:r w:rsidRPr="13C70224">
        <w:rPr>
          <w:rFonts w:eastAsia="Arial" w:cs="Arial"/>
        </w:rPr>
        <w:t xml:space="preserve">InterraScan </w:t>
      </w:r>
    </w:p>
    <w:p w14:paraId="67E7F83E" w14:textId="17748328" w:rsidR="1DE0B4C3" w:rsidRDefault="1DE0B4C3" w:rsidP="13C70224">
      <w:pPr>
        <w:spacing w:line="276" w:lineRule="auto"/>
        <w:jc w:val="both"/>
        <w:rPr>
          <w:rFonts w:eastAsia="Arial" w:cs="Arial"/>
        </w:rPr>
      </w:pPr>
      <w:r w:rsidRPr="39F73C8B">
        <w:rPr>
          <w:rFonts w:eastAsia="Arial" w:cs="Arial"/>
        </w:rPr>
        <w:t>Bien qu’InterraScan offre la possibilité de générer des cartes de prescription de dose à partir des cartes de pH prod</w:t>
      </w:r>
      <w:r w:rsidR="5ED39764" w:rsidRPr="39F73C8B">
        <w:rPr>
          <w:rFonts w:eastAsia="Arial" w:cs="Arial"/>
        </w:rPr>
        <w:t>uite</w:t>
      </w:r>
      <w:r w:rsidRPr="39F73C8B">
        <w:rPr>
          <w:rFonts w:eastAsia="Arial" w:cs="Arial"/>
        </w:rPr>
        <w:t>, aucune carte de préconisation d’apport d</w:t>
      </w:r>
      <w:r w:rsidR="502F7CAB" w:rsidRPr="39F73C8B">
        <w:rPr>
          <w:rFonts w:eastAsia="Arial" w:cs="Arial"/>
        </w:rPr>
        <w:t>’écume de sucrerie</w:t>
      </w:r>
      <w:r w:rsidRPr="39F73C8B">
        <w:rPr>
          <w:rFonts w:eastAsia="Arial" w:cs="Arial"/>
        </w:rPr>
        <w:t xml:space="preserve"> n’a été produite avec cette solution dans le cadre de ce projet. La solution InterraScan n’a en effet été mobilisée qu’en cours de projet, alors qu’elle n’était pas prévue initialement. De plus, les premières évaluations techniques réalisées lors de l’acquisition des données se sont révélées décevantes. Des échanges entre InterraScan et le CRA-W ont notamment permis d’identifier des incohérences dans les cartes </w:t>
      </w:r>
      <w:r w:rsidR="16F3EEA0" w:rsidRPr="39F73C8B">
        <w:rPr>
          <w:rFonts w:eastAsia="Arial" w:cs="Arial"/>
        </w:rPr>
        <w:t>pH</w:t>
      </w:r>
      <w:r w:rsidRPr="39F73C8B">
        <w:rPr>
          <w:rFonts w:eastAsia="Arial" w:cs="Arial"/>
        </w:rPr>
        <w:t xml:space="preserve"> produites par la solution. Dans ce contexte, l’accent a été mis sur la solution Veris MSP3 pour la mise en place des apports</w:t>
      </w:r>
      <w:r w:rsidR="7D167F1D" w:rsidRPr="39F73C8B">
        <w:rPr>
          <w:rFonts w:eastAsia="Arial" w:cs="Arial"/>
        </w:rPr>
        <w:t xml:space="preserve"> variables</w:t>
      </w:r>
      <w:r w:rsidRPr="39F73C8B">
        <w:rPr>
          <w:rFonts w:eastAsia="Arial" w:cs="Arial"/>
        </w:rPr>
        <w:t xml:space="preserve"> de matière organique, cette technologie apparaissant plus mature, notamment en raison de sa présence plus ancienne sur le marché.</w:t>
      </w:r>
    </w:p>
    <w:p w14:paraId="059A590D" w14:textId="36433C0F" w:rsidR="39F73C8B" w:rsidRDefault="39F73C8B" w:rsidP="39F73C8B">
      <w:pPr>
        <w:spacing w:line="276" w:lineRule="auto"/>
        <w:jc w:val="both"/>
        <w:rPr>
          <w:rFonts w:eastAsia="Arial" w:cs="Arial"/>
        </w:rPr>
      </w:pPr>
    </w:p>
    <w:p w14:paraId="20190986" w14:textId="3C015792" w:rsidR="43AC1B9F" w:rsidRDefault="5DD8E6F0" w:rsidP="39F73C8B">
      <w:pPr>
        <w:pStyle w:val="Titre1"/>
        <w:spacing w:line="276" w:lineRule="auto"/>
        <w:jc w:val="both"/>
        <w:rPr>
          <w:rFonts w:ascii="Arial" w:eastAsia="Arial" w:hAnsi="Arial" w:cs="Arial"/>
        </w:rPr>
      </w:pPr>
      <w:bookmarkStart w:id="8" w:name="_Toc1007590904"/>
      <w:r w:rsidRPr="3BFF6491">
        <w:rPr>
          <w:rFonts w:ascii="Arial" w:eastAsia="Arial" w:hAnsi="Arial" w:cs="Arial"/>
        </w:rPr>
        <w:t>Évaluation technique</w:t>
      </w:r>
      <w:r w:rsidR="7D3F8BA2" w:rsidRPr="3BFF6491">
        <w:rPr>
          <w:rFonts w:ascii="Arial" w:eastAsia="Arial" w:hAnsi="Arial" w:cs="Arial"/>
        </w:rPr>
        <w:t xml:space="preserve"> (WP5)</w:t>
      </w:r>
      <w:bookmarkEnd w:id="8"/>
    </w:p>
    <w:p w14:paraId="7CDE8D0B" w14:textId="2565ED9E" w:rsidR="1D84CD92" w:rsidRDefault="37CA038D" w:rsidP="13C70224">
      <w:pPr>
        <w:pStyle w:val="Titre2"/>
        <w:spacing w:line="276" w:lineRule="auto"/>
        <w:jc w:val="both"/>
        <w:rPr>
          <w:rFonts w:ascii="Arial" w:eastAsia="Arial" w:hAnsi="Arial" w:cs="Arial"/>
        </w:rPr>
      </w:pPr>
      <w:bookmarkStart w:id="9" w:name="_Toc1091784427"/>
      <w:r w:rsidRPr="3BFF6491">
        <w:rPr>
          <w:rFonts w:ascii="Arial" w:eastAsia="Arial" w:hAnsi="Arial" w:cs="Arial"/>
        </w:rPr>
        <w:t>Matériel et m</w:t>
      </w:r>
      <w:r w:rsidR="67D41CA4" w:rsidRPr="3BFF6491">
        <w:rPr>
          <w:rFonts w:ascii="Arial" w:eastAsia="Arial" w:hAnsi="Arial" w:cs="Arial"/>
        </w:rPr>
        <w:t>éthodes</w:t>
      </w:r>
      <w:bookmarkEnd w:id="9"/>
    </w:p>
    <w:p w14:paraId="3D89B2B9" w14:textId="135E262C" w:rsidR="31CEDD54" w:rsidRDefault="31CEDD54" w:rsidP="0FF8C3A4">
      <w:pPr>
        <w:jc w:val="both"/>
      </w:pPr>
      <w:r>
        <w:t>L’objectif de cette évaluation est, dans un premier temps, de comparer les cartographies des propriétés du sol aux résultats des analyses de laboratoire, à la localisation des zones où des échantillons de sol ont été prélevés. Un second objectif consiste à tester concrètement, sur le terrain, l’effet de la mise en œuvre des applications à taux variable sur l’évolution des paramètres du sol de l’exploitation. </w:t>
      </w:r>
    </w:p>
    <w:p w14:paraId="185E73C9" w14:textId="0066922E" w:rsidR="623CC77D" w:rsidRDefault="623CC77D" w:rsidP="39F73C8B">
      <w:pPr>
        <w:pStyle w:val="Titre3"/>
        <w:spacing w:line="276" w:lineRule="auto"/>
        <w:jc w:val="both"/>
        <w:rPr>
          <w:rFonts w:eastAsia="Arial" w:cs="Arial"/>
        </w:rPr>
      </w:pPr>
      <w:r w:rsidRPr="39F73C8B">
        <w:rPr>
          <w:rFonts w:eastAsia="Arial" w:cs="Arial"/>
        </w:rPr>
        <w:lastRenderedPageBreak/>
        <w:t xml:space="preserve">Extraction des données aux points d’analyses  </w:t>
      </w:r>
    </w:p>
    <w:p w14:paraId="5BD56897" w14:textId="2EB3509E" w:rsidR="623CC77D" w:rsidRDefault="623CC77D" w:rsidP="39F73C8B">
      <w:pPr>
        <w:spacing w:line="276" w:lineRule="auto"/>
        <w:jc w:val="both"/>
        <w:rPr>
          <w:rFonts w:eastAsia="Arial" w:cs="Arial"/>
        </w:rPr>
      </w:pPr>
      <w:r w:rsidRPr="39F73C8B">
        <w:rPr>
          <w:rFonts w:eastAsia="Arial" w:cs="Arial"/>
        </w:rPr>
        <w:t>Des zones tampons d’un rayon de 5 mètres ont été définies autour de chaque analyse de sol. Les enregistrements issus des solutions Veris MSP3 et InterraScan (données brutes) situés à l’intérieur de ces zones ont été sélectionnés, puis moyennés afin de résumer ces enregistrements au niveau de chaque analyse. En revanche, pour les données de pH provenant du capteur Veris MSP3, la densité des mesures s’est révélée insuffisante pour appliquer cette méthode. Dans ce cas, les valeurs interpolées selon la méthode de pondération par l’inverse de la distance ont été extraites à la localisation analyse.</w:t>
      </w:r>
    </w:p>
    <w:p w14:paraId="32DEDED9" w14:textId="6835E05A" w:rsidR="39F73C8B" w:rsidRDefault="39F73C8B" w:rsidP="39F73C8B"/>
    <w:p w14:paraId="4D31420F" w14:textId="73D2A6EB" w:rsidR="1D84CD92" w:rsidRDefault="4D2492BF" w:rsidP="13C70224">
      <w:pPr>
        <w:pStyle w:val="Titre3"/>
        <w:spacing w:line="276" w:lineRule="auto"/>
        <w:jc w:val="both"/>
        <w:rPr>
          <w:rFonts w:eastAsia="Arial" w:cs="Arial"/>
          <w:sz w:val="32"/>
          <w:szCs w:val="32"/>
        </w:rPr>
      </w:pPr>
      <w:r w:rsidRPr="13C70224">
        <w:rPr>
          <w:rFonts w:eastAsia="Arial" w:cs="Arial"/>
        </w:rPr>
        <w:t>Valeurs aberrantes</w:t>
      </w:r>
    </w:p>
    <w:p w14:paraId="09291199" w14:textId="3C527B11" w:rsidR="153AC3E6" w:rsidRDefault="628E9316" w:rsidP="13C70224">
      <w:pPr>
        <w:spacing w:line="276" w:lineRule="auto"/>
        <w:jc w:val="both"/>
        <w:rPr>
          <w:rFonts w:eastAsia="Arial" w:cs="Arial"/>
        </w:rPr>
      </w:pPr>
      <w:r w:rsidRPr="13C70224">
        <w:rPr>
          <w:rFonts w:eastAsia="Arial" w:cs="Arial"/>
        </w:rPr>
        <w:t>Chaque paramètre du sol étudié a fait l’objet d’une étude préliminaire visant à détecter la présence de valeurs aberrantes dans les données. Une donnée a été considérée comme aberrante lorsqu’elle dépassait de trois fois l’intervalle interquartile (IQR), au-dessus du troisième quartile ou en dessous du premier quartile, l’analyse étant réalisée à l’échelle de la parcelle pour les solutions et à l’échelle de l’exploitation pour les analyses de sol.</w:t>
      </w:r>
    </w:p>
    <w:p w14:paraId="70B5F6F5" w14:textId="4CC686ED" w:rsidR="31197534" w:rsidRDefault="31197534" w:rsidP="39F73C8B">
      <w:pPr>
        <w:spacing w:line="276" w:lineRule="auto"/>
        <w:jc w:val="both"/>
        <w:rPr>
          <w:rFonts w:eastAsia="Arial" w:cs="Arial"/>
        </w:rPr>
      </w:pPr>
    </w:p>
    <w:p w14:paraId="144F491E" w14:textId="6CBDE536" w:rsidR="1D84CD92" w:rsidRDefault="79458CE3" w:rsidP="13C70224">
      <w:pPr>
        <w:pStyle w:val="Titre3"/>
        <w:spacing w:line="276" w:lineRule="auto"/>
        <w:jc w:val="both"/>
        <w:rPr>
          <w:rFonts w:eastAsia="Arial" w:cs="Arial"/>
          <w:sz w:val="32"/>
          <w:szCs w:val="32"/>
        </w:rPr>
      </w:pPr>
      <w:r w:rsidRPr="13C70224">
        <w:rPr>
          <w:rFonts w:eastAsia="Arial" w:cs="Arial"/>
        </w:rPr>
        <w:t>Contrôle du poids d’une observation (</w:t>
      </w:r>
      <w:proofErr w:type="spellStart"/>
      <w:r w:rsidRPr="13C70224">
        <w:rPr>
          <w:rFonts w:eastAsia="Arial" w:cs="Arial"/>
        </w:rPr>
        <w:t>Bootstrapping</w:t>
      </w:r>
      <w:proofErr w:type="spellEnd"/>
      <w:r w:rsidRPr="13C70224">
        <w:rPr>
          <w:rFonts w:eastAsia="Arial" w:cs="Arial"/>
        </w:rPr>
        <w:t>)</w:t>
      </w:r>
    </w:p>
    <w:p w14:paraId="3181EB27" w14:textId="489E9EA3" w:rsidR="1D84CD92" w:rsidRDefault="4D2492BF" w:rsidP="13C70224">
      <w:pPr>
        <w:pStyle w:val="Sansinterligne"/>
        <w:spacing w:line="276" w:lineRule="auto"/>
        <w:jc w:val="both"/>
        <w:rPr>
          <w:rFonts w:eastAsia="Arial" w:cs="Arial"/>
        </w:rPr>
      </w:pPr>
      <w:r w:rsidRPr="13C70224">
        <w:rPr>
          <w:rFonts w:eastAsia="Arial" w:cs="Arial"/>
        </w:rPr>
        <w:t xml:space="preserve">Afin de garantir une puissance statistique suffisante lors de l’analyse des échantillons à l’échelle intra-parcellaire, les petites parcelles </w:t>
      </w:r>
      <w:proofErr w:type="gramStart"/>
      <w:r w:rsidRPr="13C70224">
        <w:rPr>
          <w:rFonts w:eastAsia="Arial" w:cs="Arial"/>
        </w:rPr>
        <w:t>ont été</w:t>
      </w:r>
      <w:proofErr w:type="gramEnd"/>
      <w:r w:rsidRPr="13C70224">
        <w:rPr>
          <w:rFonts w:eastAsia="Arial" w:cs="Arial"/>
        </w:rPr>
        <w:t xml:space="preserve"> sur-échantillonnées par rapport aux grandes. Malheureusement, cette méthodologie introduit un biais statistique dans les analyses menées à l’échelle de l’exploitation, en attribuant un poids disproportionné aux petites parcelles. Pour corriger ce déséquilibre, un sous-échantillonnage aléatoire a été appliqué afin d’homogénéiser le nombre de points d’analyse par hectare entre les parcelles. Dans un premier temps, la densité de points par hectare a été calculée pour chaque parcelle. La parcelle Pivot, ayant la densité la plus faible (0,68 point/ha), a servi de référence pour le sous-échantillonnage</w:t>
      </w:r>
      <w:r w:rsidR="1F7FE9B6" w:rsidRPr="13C70224">
        <w:rPr>
          <w:rFonts w:eastAsia="Arial" w:cs="Arial"/>
        </w:rPr>
        <w:t xml:space="preserve"> des points</w:t>
      </w:r>
      <w:r w:rsidRPr="13C70224">
        <w:rPr>
          <w:rFonts w:eastAsia="Arial" w:cs="Arial"/>
        </w:rPr>
        <w:t xml:space="preserve">. Ensuite, le nombre de points attendu pour chaque parcelle a été estimé à partir de cette densité de référence (voir </w:t>
      </w:r>
      <w:r>
        <w:fldChar w:fldCharType="begin"/>
      </w:r>
      <w:r w:rsidRPr="13C70224">
        <w:rPr>
          <w:rFonts w:eastAsia="Arial" w:cs="Arial"/>
        </w:rPr>
        <w:instrText xml:space="preserve"> REF _Ref221886605 \h </w:instrText>
      </w:r>
      <w:r>
        <w:fldChar w:fldCharType="separate"/>
      </w:r>
      <w:r w:rsidR="7DFE2B2D" w:rsidRPr="13C70224">
        <w:rPr>
          <w:rFonts w:eastAsia="Arial" w:cs="Arial"/>
        </w:rPr>
        <w:t xml:space="preserve">Tableau </w:t>
      </w:r>
      <w:r w:rsidR="7DFE2B2D" w:rsidRPr="13C70224">
        <w:rPr>
          <w:noProof/>
        </w:rPr>
        <w:t>3</w:t>
      </w:r>
      <w:r>
        <w:fldChar w:fldCharType="end"/>
      </w:r>
      <w:r w:rsidR="7DFE2B2D" w:rsidRPr="13C70224">
        <w:rPr>
          <w:rFonts w:eastAsia="Arial" w:cs="Arial"/>
        </w:rPr>
        <w:t>)</w:t>
      </w:r>
    </w:p>
    <w:p w14:paraId="00AFBCE5" w14:textId="6B73D98F" w:rsidR="153AC3E6" w:rsidRDefault="153AC3E6" w:rsidP="13C70224">
      <w:pPr>
        <w:spacing w:line="276" w:lineRule="auto"/>
        <w:jc w:val="both"/>
        <w:rPr>
          <w:rFonts w:eastAsia="Arial" w:cs="Arial"/>
        </w:rPr>
      </w:pPr>
    </w:p>
    <w:p w14:paraId="6809E91C" w14:textId="6D8325BE" w:rsidR="1D84CD92" w:rsidRDefault="1D84CD92" w:rsidP="13C70224">
      <w:pPr>
        <w:pStyle w:val="Lgende"/>
        <w:keepNext/>
        <w:spacing w:line="276" w:lineRule="auto"/>
        <w:jc w:val="both"/>
        <w:rPr>
          <w:rFonts w:eastAsia="Arial" w:cs="Arial"/>
        </w:rPr>
      </w:pPr>
      <w:bookmarkStart w:id="10" w:name="_Ref221886605"/>
      <w:r w:rsidRPr="13C70224">
        <w:rPr>
          <w:rFonts w:eastAsia="Arial" w:cs="Arial"/>
        </w:rPr>
        <w:t xml:space="preserve">Tableau </w:t>
      </w:r>
      <w:r>
        <w:fldChar w:fldCharType="begin"/>
      </w:r>
      <w:r>
        <w:instrText>SEQ Tableau \* ARABIC</w:instrText>
      </w:r>
      <w:r>
        <w:fldChar w:fldCharType="separate"/>
      </w:r>
      <w:r w:rsidR="007E2AE7" w:rsidRPr="13C70224">
        <w:rPr>
          <w:noProof/>
        </w:rPr>
        <w:t>3</w:t>
      </w:r>
      <w:r>
        <w:fldChar w:fldCharType="end"/>
      </w:r>
      <w:bookmarkEnd w:id="10"/>
      <w:r w:rsidRPr="13C70224">
        <w:rPr>
          <w:rFonts w:eastAsia="Arial" w:cs="Arial"/>
        </w:rPr>
        <w:t xml:space="preserve">. </w:t>
      </w:r>
      <w:r w:rsidRPr="13C70224">
        <w:rPr>
          <w:rFonts w:eastAsia="Arial" w:cs="Arial"/>
          <w:b/>
          <w:bCs/>
        </w:rPr>
        <w:t>Nombre et densité des points d’analyse par parcelle.</w:t>
      </w:r>
      <w:r w:rsidRPr="13C70224">
        <w:rPr>
          <w:rFonts w:eastAsia="Arial" w:cs="Arial"/>
        </w:rPr>
        <w:t xml:space="preserve"> Ce tableau présente, pour chaque parcelle, la surface en hectares, la densité de points d’analyse observée (nombre de points par hectare), le nombre total de points d’analyse observés, ainsi que le nombre de points d’analyse attendu après sous-échantillonnage.</w:t>
      </w:r>
    </w:p>
    <w:tbl>
      <w:tblPr>
        <w:tblW w:w="8730" w:type="dxa"/>
        <w:jc w:val="cente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A0" w:firstRow="1" w:lastRow="0" w:firstColumn="1" w:lastColumn="0" w:noHBand="1" w:noVBand="1"/>
      </w:tblPr>
      <w:tblGrid>
        <w:gridCol w:w="1770"/>
        <w:gridCol w:w="1080"/>
        <w:gridCol w:w="1215"/>
        <w:gridCol w:w="1215"/>
        <w:gridCol w:w="1005"/>
        <w:gridCol w:w="1350"/>
        <w:gridCol w:w="1095"/>
      </w:tblGrid>
      <w:tr w:rsidR="00340920" w14:paraId="76AC8DE6" w14:textId="77777777" w:rsidTr="0FF8C3A4">
        <w:trPr>
          <w:trHeight w:val="300"/>
          <w:jc w:val="center"/>
        </w:trPr>
        <w:tc>
          <w:tcPr>
            <w:tcW w:w="1770" w:type="dxa"/>
            <w:tcBorders>
              <w:top w:val="none" w:sz="8" w:space="0" w:color="000000" w:themeColor="text1"/>
              <w:left w:val="none" w:sz="8" w:space="0" w:color="000000" w:themeColor="text1"/>
            </w:tcBorders>
            <w:tcMar>
              <w:left w:w="105" w:type="dxa"/>
              <w:right w:w="105" w:type="dxa"/>
            </w:tcMar>
            <w:vAlign w:val="center"/>
          </w:tcPr>
          <w:p w14:paraId="23B2D9BE" w14:textId="42671B42" w:rsidR="153AC3E6" w:rsidRDefault="153AC3E6" w:rsidP="13C70224">
            <w:pPr>
              <w:spacing w:after="0" w:line="276" w:lineRule="auto"/>
              <w:jc w:val="both"/>
              <w:rPr>
                <w:rFonts w:eastAsia="Arial" w:cs="Arial"/>
                <w:sz w:val="16"/>
                <w:szCs w:val="16"/>
              </w:rPr>
            </w:pPr>
          </w:p>
        </w:tc>
        <w:tc>
          <w:tcPr>
            <w:tcW w:w="1080" w:type="dxa"/>
            <w:tcMar>
              <w:left w:w="105" w:type="dxa"/>
              <w:right w:w="105" w:type="dxa"/>
            </w:tcMar>
            <w:vAlign w:val="center"/>
          </w:tcPr>
          <w:p w14:paraId="39E3065A" w14:textId="3A2E509B"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Marneffe</w:t>
            </w:r>
            <w:proofErr w:type="spellEnd"/>
          </w:p>
        </w:tc>
        <w:tc>
          <w:tcPr>
            <w:tcW w:w="1215" w:type="dxa"/>
            <w:tcMar>
              <w:left w:w="105" w:type="dxa"/>
              <w:right w:w="105" w:type="dxa"/>
            </w:tcMar>
            <w:vAlign w:val="center"/>
          </w:tcPr>
          <w:p w14:paraId="7180B2EC" w14:textId="1784A7CA"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PtiVillers</w:t>
            </w:r>
            <w:proofErr w:type="spellEnd"/>
          </w:p>
        </w:tc>
        <w:tc>
          <w:tcPr>
            <w:tcW w:w="1215" w:type="dxa"/>
            <w:tcMar>
              <w:left w:w="105" w:type="dxa"/>
              <w:right w:w="105" w:type="dxa"/>
            </w:tcMar>
            <w:vAlign w:val="center"/>
          </w:tcPr>
          <w:p w14:paraId="1BCEE99C" w14:textId="4CDFC4C7"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Lambert</w:t>
            </w:r>
          </w:p>
        </w:tc>
        <w:tc>
          <w:tcPr>
            <w:tcW w:w="1005" w:type="dxa"/>
            <w:tcMar>
              <w:left w:w="105" w:type="dxa"/>
              <w:right w:w="105" w:type="dxa"/>
            </w:tcMar>
            <w:vAlign w:val="center"/>
          </w:tcPr>
          <w:p w14:paraId="11685A77" w14:textId="659F8AB5"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Paradis</w:t>
            </w:r>
          </w:p>
        </w:tc>
        <w:tc>
          <w:tcPr>
            <w:tcW w:w="1350" w:type="dxa"/>
            <w:tcMar>
              <w:left w:w="105" w:type="dxa"/>
              <w:right w:w="105" w:type="dxa"/>
            </w:tcMar>
            <w:vAlign w:val="center"/>
          </w:tcPr>
          <w:p w14:paraId="5E8CF44F" w14:textId="460DF2E4"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Flabat</w:t>
            </w:r>
            <w:proofErr w:type="spellEnd"/>
          </w:p>
        </w:tc>
        <w:tc>
          <w:tcPr>
            <w:tcW w:w="1095" w:type="dxa"/>
            <w:tcMar>
              <w:left w:w="105" w:type="dxa"/>
              <w:right w:w="105" w:type="dxa"/>
            </w:tcMar>
            <w:vAlign w:val="center"/>
          </w:tcPr>
          <w:p w14:paraId="7E01509A" w14:textId="514AC12F"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Nosipont</w:t>
            </w:r>
            <w:proofErr w:type="spellEnd"/>
          </w:p>
        </w:tc>
      </w:tr>
      <w:tr w:rsidR="00340920" w14:paraId="0EB93B46" w14:textId="77777777" w:rsidTr="0FF8C3A4">
        <w:trPr>
          <w:trHeight w:val="300"/>
          <w:jc w:val="center"/>
        </w:trPr>
        <w:tc>
          <w:tcPr>
            <w:tcW w:w="1770" w:type="dxa"/>
            <w:tcMar>
              <w:left w:w="105" w:type="dxa"/>
              <w:right w:w="105" w:type="dxa"/>
            </w:tcMar>
            <w:vAlign w:val="center"/>
          </w:tcPr>
          <w:p w14:paraId="02BF2186" w14:textId="2D7452BF"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Surface (ha)</w:t>
            </w:r>
          </w:p>
        </w:tc>
        <w:tc>
          <w:tcPr>
            <w:tcW w:w="1080" w:type="dxa"/>
            <w:tcMar>
              <w:left w:w="105" w:type="dxa"/>
              <w:right w:w="105" w:type="dxa"/>
            </w:tcMar>
            <w:vAlign w:val="center"/>
          </w:tcPr>
          <w:p w14:paraId="320F4E48" w14:textId="298A8A11" w:rsidR="153AC3E6" w:rsidRDefault="5AA41DEF" w:rsidP="0FF8C3A4">
            <w:pPr>
              <w:spacing w:after="0" w:line="276" w:lineRule="auto"/>
              <w:jc w:val="center"/>
              <w:rPr>
                <w:rFonts w:eastAsia="Arial" w:cs="Arial"/>
                <w:sz w:val="16"/>
                <w:szCs w:val="16"/>
              </w:rPr>
            </w:pPr>
            <w:r w:rsidRPr="0FF8C3A4">
              <w:rPr>
                <w:rFonts w:eastAsia="Arial" w:cs="Arial"/>
                <w:sz w:val="16"/>
                <w:szCs w:val="16"/>
              </w:rPr>
              <w:t>1,62</w:t>
            </w:r>
          </w:p>
        </w:tc>
        <w:tc>
          <w:tcPr>
            <w:tcW w:w="1215" w:type="dxa"/>
            <w:tcMar>
              <w:left w:w="105" w:type="dxa"/>
              <w:right w:w="105" w:type="dxa"/>
            </w:tcMar>
            <w:vAlign w:val="center"/>
          </w:tcPr>
          <w:p w14:paraId="3A20615E" w14:textId="1F93985F" w:rsidR="153AC3E6" w:rsidRDefault="5AA41DEF" w:rsidP="0FF8C3A4">
            <w:pPr>
              <w:spacing w:after="0" w:line="276" w:lineRule="auto"/>
              <w:jc w:val="center"/>
              <w:rPr>
                <w:rFonts w:eastAsia="Arial" w:cs="Arial"/>
                <w:sz w:val="16"/>
                <w:szCs w:val="16"/>
              </w:rPr>
            </w:pPr>
            <w:r w:rsidRPr="0FF8C3A4">
              <w:rPr>
                <w:rFonts w:eastAsia="Arial" w:cs="Arial"/>
                <w:sz w:val="16"/>
                <w:szCs w:val="16"/>
              </w:rPr>
              <w:t>4,39</w:t>
            </w:r>
          </w:p>
        </w:tc>
        <w:tc>
          <w:tcPr>
            <w:tcW w:w="1215" w:type="dxa"/>
            <w:tcMar>
              <w:left w:w="105" w:type="dxa"/>
              <w:right w:w="105" w:type="dxa"/>
            </w:tcMar>
            <w:vAlign w:val="center"/>
          </w:tcPr>
          <w:p w14:paraId="6697DFEA" w14:textId="68EAE328" w:rsidR="153AC3E6" w:rsidRDefault="5AA41DEF" w:rsidP="0FF8C3A4">
            <w:pPr>
              <w:spacing w:after="0" w:line="276" w:lineRule="auto"/>
              <w:jc w:val="center"/>
              <w:rPr>
                <w:rFonts w:eastAsia="Arial" w:cs="Arial"/>
                <w:sz w:val="16"/>
                <w:szCs w:val="16"/>
              </w:rPr>
            </w:pPr>
            <w:r w:rsidRPr="0FF8C3A4">
              <w:rPr>
                <w:rFonts w:eastAsia="Arial" w:cs="Arial"/>
                <w:sz w:val="16"/>
                <w:szCs w:val="16"/>
              </w:rPr>
              <w:t>5</w:t>
            </w:r>
          </w:p>
        </w:tc>
        <w:tc>
          <w:tcPr>
            <w:tcW w:w="1005" w:type="dxa"/>
            <w:tcMar>
              <w:left w:w="105" w:type="dxa"/>
              <w:right w:w="105" w:type="dxa"/>
            </w:tcMar>
            <w:vAlign w:val="center"/>
          </w:tcPr>
          <w:p w14:paraId="73069C02" w14:textId="2F62F24D" w:rsidR="153AC3E6" w:rsidRDefault="5AA41DEF" w:rsidP="0FF8C3A4">
            <w:pPr>
              <w:spacing w:after="0" w:line="276" w:lineRule="auto"/>
              <w:jc w:val="center"/>
              <w:rPr>
                <w:rFonts w:eastAsia="Arial" w:cs="Arial"/>
                <w:sz w:val="16"/>
                <w:szCs w:val="16"/>
              </w:rPr>
            </w:pPr>
            <w:r w:rsidRPr="0FF8C3A4">
              <w:rPr>
                <w:rFonts w:eastAsia="Arial" w:cs="Arial"/>
                <w:sz w:val="16"/>
                <w:szCs w:val="16"/>
              </w:rPr>
              <w:t>6,53</w:t>
            </w:r>
          </w:p>
        </w:tc>
        <w:tc>
          <w:tcPr>
            <w:tcW w:w="1350" w:type="dxa"/>
            <w:tcMar>
              <w:left w:w="105" w:type="dxa"/>
              <w:right w:w="105" w:type="dxa"/>
            </w:tcMar>
            <w:vAlign w:val="center"/>
          </w:tcPr>
          <w:p w14:paraId="0654F72C" w14:textId="3620C403" w:rsidR="153AC3E6" w:rsidRDefault="5AA41DEF" w:rsidP="0FF8C3A4">
            <w:pPr>
              <w:spacing w:after="0" w:line="276" w:lineRule="auto"/>
              <w:jc w:val="center"/>
              <w:rPr>
                <w:rFonts w:eastAsia="Arial" w:cs="Arial"/>
                <w:sz w:val="16"/>
                <w:szCs w:val="16"/>
              </w:rPr>
            </w:pPr>
            <w:r w:rsidRPr="0FF8C3A4">
              <w:rPr>
                <w:rFonts w:eastAsia="Arial" w:cs="Arial"/>
                <w:sz w:val="16"/>
                <w:szCs w:val="16"/>
              </w:rPr>
              <w:t>7,02</w:t>
            </w:r>
          </w:p>
        </w:tc>
        <w:tc>
          <w:tcPr>
            <w:tcW w:w="1095" w:type="dxa"/>
            <w:tcMar>
              <w:left w:w="105" w:type="dxa"/>
              <w:right w:w="105" w:type="dxa"/>
            </w:tcMar>
            <w:vAlign w:val="center"/>
          </w:tcPr>
          <w:p w14:paraId="3AD83EBF" w14:textId="496F675A" w:rsidR="153AC3E6" w:rsidRDefault="5AA41DEF" w:rsidP="0FF8C3A4">
            <w:pPr>
              <w:spacing w:after="0" w:line="276" w:lineRule="auto"/>
              <w:jc w:val="center"/>
              <w:rPr>
                <w:rFonts w:eastAsia="Arial" w:cs="Arial"/>
                <w:sz w:val="16"/>
                <w:szCs w:val="16"/>
              </w:rPr>
            </w:pPr>
            <w:r w:rsidRPr="0FF8C3A4">
              <w:rPr>
                <w:rFonts w:eastAsia="Arial" w:cs="Arial"/>
                <w:sz w:val="16"/>
                <w:szCs w:val="16"/>
              </w:rPr>
              <w:t>7,7</w:t>
            </w:r>
          </w:p>
        </w:tc>
      </w:tr>
      <w:tr w:rsidR="00340920" w14:paraId="4BF9F30D" w14:textId="77777777" w:rsidTr="0FF8C3A4">
        <w:trPr>
          <w:trHeight w:val="300"/>
          <w:jc w:val="center"/>
        </w:trPr>
        <w:tc>
          <w:tcPr>
            <w:tcW w:w="1770" w:type="dxa"/>
            <w:tcMar>
              <w:left w:w="105" w:type="dxa"/>
              <w:right w:w="105" w:type="dxa"/>
            </w:tcMar>
            <w:vAlign w:val="center"/>
          </w:tcPr>
          <w:p w14:paraId="280D053B" w14:textId="27ADABC4"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Nombre de point d’analyse</w:t>
            </w:r>
          </w:p>
        </w:tc>
        <w:tc>
          <w:tcPr>
            <w:tcW w:w="1080" w:type="dxa"/>
            <w:tcMar>
              <w:left w:w="105" w:type="dxa"/>
              <w:right w:w="105" w:type="dxa"/>
            </w:tcMar>
            <w:vAlign w:val="center"/>
          </w:tcPr>
          <w:p w14:paraId="76D03FF5" w14:textId="5D125D7D" w:rsidR="153AC3E6" w:rsidRDefault="5AA41DEF" w:rsidP="0FF8C3A4">
            <w:pPr>
              <w:spacing w:after="0" w:line="276" w:lineRule="auto"/>
              <w:jc w:val="center"/>
              <w:rPr>
                <w:rFonts w:eastAsia="Arial" w:cs="Arial"/>
                <w:sz w:val="16"/>
                <w:szCs w:val="16"/>
              </w:rPr>
            </w:pPr>
            <w:r w:rsidRPr="0FF8C3A4">
              <w:rPr>
                <w:rFonts w:eastAsia="Arial" w:cs="Arial"/>
                <w:sz w:val="16"/>
                <w:szCs w:val="16"/>
              </w:rPr>
              <w:t>7</w:t>
            </w:r>
          </w:p>
        </w:tc>
        <w:tc>
          <w:tcPr>
            <w:tcW w:w="1215" w:type="dxa"/>
            <w:tcMar>
              <w:left w:w="105" w:type="dxa"/>
              <w:right w:w="105" w:type="dxa"/>
            </w:tcMar>
            <w:vAlign w:val="center"/>
          </w:tcPr>
          <w:p w14:paraId="6F07B00B" w14:textId="090CD17C" w:rsidR="153AC3E6" w:rsidRDefault="5AA41DEF" w:rsidP="0FF8C3A4">
            <w:pPr>
              <w:spacing w:after="0" w:line="276" w:lineRule="auto"/>
              <w:jc w:val="center"/>
              <w:rPr>
                <w:rFonts w:eastAsia="Arial" w:cs="Arial"/>
                <w:sz w:val="16"/>
                <w:szCs w:val="16"/>
              </w:rPr>
            </w:pPr>
            <w:r w:rsidRPr="0FF8C3A4">
              <w:rPr>
                <w:rFonts w:eastAsia="Arial" w:cs="Arial"/>
                <w:sz w:val="16"/>
                <w:szCs w:val="16"/>
              </w:rPr>
              <w:t>10</w:t>
            </w:r>
          </w:p>
        </w:tc>
        <w:tc>
          <w:tcPr>
            <w:tcW w:w="1215" w:type="dxa"/>
            <w:tcMar>
              <w:left w:w="105" w:type="dxa"/>
              <w:right w:w="105" w:type="dxa"/>
            </w:tcMar>
            <w:vAlign w:val="center"/>
          </w:tcPr>
          <w:p w14:paraId="25B56E33" w14:textId="27A73BB0" w:rsidR="153AC3E6" w:rsidRDefault="5AA41DEF" w:rsidP="0FF8C3A4">
            <w:pPr>
              <w:spacing w:after="0" w:line="276" w:lineRule="auto"/>
              <w:jc w:val="center"/>
              <w:rPr>
                <w:rFonts w:eastAsia="Arial" w:cs="Arial"/>
                <w:sz w:val="16"/>
                <w:szCs w:val="16"/>
              </w:rPr>
            </w:pPr>
            <w:r w:rsidRPr="0FF8C3A4">
              <w:rPr>
                <w:rFonts w:eastAsia="Arial" w:cs="Arial"/>
                <w:sz w:val="16"/>
                <w:szCs w:val="16"/>
              </w:rPr>
              <w:t>8</w:t>
            </w:r>
          </w:p>
        </w:tc>
        <w:tc>
          <w:tcPr>
            <w:tcW w:w="1005" w:type="dxa"/>
            <w:tcMar>
              <w:left w:w="105" w:type="dxa"/>
              <w:right w:w="105" w:type="dxa"/>
            </w:tcMar>
            <w:vAlign w:val="center"/>
          </w:tcPr>
          <w:p w14:paraId="771B6AD6" w14:textId="1FEAA927" w:rsidR="153AC3E6" w:rsidRDefault="5AA41DEF" w:rsidP="0FF8C3A4">
            <w:pPr>
              <w:spacing w:after="0" w:line="276" w:lineRule="auto"/>
              <w:jc w:val="center"/>
              <w:rPr>
                <w:rFonts w:eastAsia="Arial" w:cs="Arial"/>
                <w:sz w:val="16"/>
                <w:szCs w:val="16"/>
              </w:rPr>
            </w:pPr>
            <w:r w:rsidRPr="0FF8C3A4">
              <w:rPr>
                <w:rFonts w:eastAsia="Arial" w:cs="Arial"/>
                <w:sz w:val="16"/>
                <w:szCs w:val="16"/>
              </w:rPr>
              <w:t>9</w:t>
            </w:r>
          </w:p>
        </w:tc>
        <w:tc>
          <w:tcPr>
            <w:tcW w:w="1350" w:type="dxa"/>
            <w:tcMar>
              <w:left w:w="105" w:type="dxa"/>
              <w:right w:w="105" w:type="dxa"/>
            </w:tcMar>
            <w:vAlign w:val="center"/>
          </w:tcPr>
          <w:p w14:paraId="7FDCB86B" w14:textId="05071165" w:rsidR="153AC3E6" w:rsidRDefault="5AA41DEF" w:rsidP="0FF8C3A4">
            <w:pPr>
              <w:spacing w:after="0" w:line="276" w:lineRule="auto"/>
              <w:jc w:val="center"/>
              <w:rPr>
                <w:rFonts w:eastAsia="Arial" w:cs="Arial"/>
                <w:sz w:val="16"/>
                <w:szCs w:val="16"/>
              </w:rPr>
            </w:pPr>
            <w:r w:rsidRPr="0FF8C3A4">
              <w:rPr>
                <w:rFonts w:eastAsia="Arial" w:cs="Arial"/>
                <w:sz w:val="16"/>
                <w:szCs w:val="16"/>
              </w:rPr>
              <w:t>12</w:t>
            </w:r>
          </w:p>
        </w:tc>
        <w:tc>
          <w:tcPr>
            <w:tcW w:w="1095" w:type="dxa"/>
            <w:tcMar>
              <w:left w:w="105" w:type="dxa"/>
              <w:right w:w="105" w:type="dxa"/>
            </w:tcMar>
            <w:vAlign w:val="center"/>
          </w:tcPr>
          <w:p w14:paraId="453C6C2F" w14:textId="4B65D67E" w:rsidR="153AC3E6" w:rsidRDefault="5AA41DEF" w:rsidP="0FF8C3A4">
            <w:pPr>
              <w:spacing w:after="0" w:line="276" w:lineRule="auto"/>
              <w:jc w:val="center"/>
              <w:rPr>
                <w:rFonts w:eastAsia="Arial" w:cs="Arial"/>
                <w:sz w:val="16"/>
                <w:szCs w:val="16"/>
              </w:rPr>
            </w:pPr>
            <w:r w:rsidRPr="0FF8C3A4">
              <w:rPr>
                <w:rFonts w:eastAsia="Arial" w:cs="Arial"/>
                <w:sz w:val="16"/>
                <w:szCs w:val="16"/>
              </w:rPr>
              <w:t>10</w:t>
            </w:r>
          </w:p>
        </w:tc>
      </w:tr>
      <w:tr w:rsidR="00340920" w14:paraId="663B49A8" w14:textId="77777777" w:rsidTr="0FF8C3A4">
        <w:trPr>
          <w:trHeight w:val="300"/>
          <w:jc w:val="center"/>
        </w:trPr>
        <w:tc>
          <w:tcPr>
            <w:tcW w:w="1770" w:type="dxa"/>
            <w:tcMar>
              <w:left w:w="105" w:type="dxa"/>
              <w:right w:w="105" w:type="dxa"/>
            </w:tcMar>
            <w:vAlign w:val="center"/>
          </w:tcPr>
          <w:p w14:paraId="5B089B59" w14:textId="5FB25128" w:rsidR="153AC3E6" w:rsidRDefault="5AA41DEF" w:rsidP="0FF8C3A4">
            <w:pPr>
              <w:spacing w:after="0" w:line="276" w:lineRule="auto"/>
              <w:jc w:val="center"/>
              <w:rPr>
                <w:rFonts w:eastAsia="Arial" w:cs="Arial"/>
                <w:b/>
                <w:bCs/>
                <w:sz w:val="16"/>
                <w:szCs w:val="16"/>
              </w:rPr>
            </w:pPr>
            <w:r w:rsidRPr="0FF8C3A4">
              <w:rPr>
                <w:rFonts w:eastAsia="Arial" w:cs="Arial"/>
                <w:b/>
                <w:bCs/>
                <w:sz w:val="16"/>
                <w:szCs w:val="16"/>
              </w:rPr>
              <w:t>Densité de points (n/ha)</w:t>
            </w:r>
          </w:p>
        </w:tc>
        <w:tc>
          <w:tcPr>
            <w:tcW w:w="1080" w:type="dxa"/>
            <w:tcMar>
              <w:left w:w="105" w:type="dxa"/>
              <w:right w:w="105" w:type="dxa"/>
            </w:tcMar>
            <w:vAlign w:val="center"/>
          </w:tcPr>
          <w:p w14:paraId="755CC2F4" w14:textId="68B3FF37" w:rsidR="153AC3E6" w:rsidRDefault="5AA41DEF" w:rsidP="0FF8C3A4">
            <w:pPr>
              <w:spacing w:after="0" w:line="276" w:lineRule="auto"/>
              <w:jc w:val="center"/>
              <w:rPr>
                <w:rFonts w:eastAsia="Arial" w:cs="Arial"/>
                <w:sz w:val="16"/>
                <w:szCs w:val="16"/>
              </w:rPr>
            </w:pPr>
            <w:r w:rsidRPr="0FF8C3A4">
              <w:rPr>
                <w:rFonts w:eastAsia="Arial" w:cs="Arial"/>
                <w:sz w:val="16"/>
                <w:szCs w:val="16"/>
              </w:rPr>
              <w:t>4,32</w:t>
            </w:r>
          </w:p>
        </w:tc>
        <w:tc>
          <w:tcPr>
            <w:tcW w:w="1215" w:type="dxa"/>
            <w:tcMar>
              <w:left w:w="105" w:type="dxa"/>
              <w:right w:w="105" w:type="dxa"/>
            </w:tcMar>
            <w:vAlign w:val="center"/>
          </w:tcPr>
          <w:p w14:paraId="33B62A5C" w14:textId="4D1B2B44" w:rsidR="153AC3E6" w:rsidRDefault="5AA41DEF" w:rsidP="0FF8C3A4">
            <w:pPr>
              <w:spacing w:after="0" w:line="276" w:lineRule="auto"/>
              <w:jc w:val="center"/>
              <w:rPr>
                <w:rFonts w:eastAsia="Arial" w:cs="Arial"/>
                <w:sz w:val="16"/>
                <w:szCs w:val="16"/>
              </w:rPr>
            </w:pPr>
            <w:r w:rsidRPr="0FF8C3A4">
              <w:rPr>
                <w:rFonts w:eastAsia="Arial" w:cs="Arial"/>
                <w:sz w:val="16"/>
                <w:szCs w:val="16"/>
              </w:rPr>
              <w:t>2,28</w:t>
            </w:r>
          </w:p>
        </w:tc>
        <w:tc>
          <w:tcPr>
            <w:tcW w:w="1215" w:type="dxa"/>
            <w:tcMar>
              <w:left w:w="105" w:type="dxa"/>
              <w:right w:w="105" w:type="dxa"/>
            </w:tcMar>
            <w:vAlign w:val="center"/>
          </w:tcPr>
          <w:p w14:paraId="7F74BC68" w14:textId="5318C3DD" w:rsidR="153AC3E6" w:rsidRDefault="5AA41DEF" w:rsidP="0FF8C3A4">
            <w:pPr>
              <w:spacing w:after="0" w:line="276" w:lineRule="auto"/>
              <w:jc w:val="center"/>
              <w:rPr>
                <w:rFonts w:eastAsia="Arial" w:cs="Arial"/>
                <w:sz w:val="16"/>
                <w:szCs w:val="16"/>
              </w:rPr>
            </w:pPr>
            <w:r w:rsidRPr="0FF8C3A4">
              <w:rPr>
                <w:rFonts w:eastAsia="Arial" w:cs="Arial"/>
                <w:sz w:val="16"/>
                <w:szCs w:val="16"/>
              </w:rPr>
              <w:t>1,6</w:t>
            </w:r>
          </w:p>
        </w:tc>
        <w:tc>
          <w:tcPr>
            <w:tcW w:w="1005" w:type="dxa"/>
            <w:tcMar>
              <w:left w:w="105" w:type="dxa"/>
              <w:right w:w="105" w:type="dxa"/>
            </w:tcMar>
            <w:vAlign w:val="center"/>
          </w:tcPr>
          <w:p w14:paraId="04A45FEB" w14:textId="6F669EFC" w:rsidR="153AC3E6" w:rsidRDefault="5AA41DEF" w:rsidP="0FF8C3A4">
            <w:pPr>
              <w:spacing w:after="0" w:line="276" w:lineRule="auto"/>
              <w:jc w:val="center"/>
              <w:rPr>
                <w:rFonts w:eastAsia="Arial" w:cs="Arial"/>
                <w:sz w:val="16"/>
                <w:szCs w:val="16"/>
              </w:rPr>
            </w:pPr>
            <w:r w:rsidRPr="0FF8C3A4">
              <w:rPr>
                <w:rFonts w:eastAsia="Arial" w:cs="Arial"/>
                <w:sz w:val="16"/>
                <w:szCs w:val="16"/>
              </w:rPr>
              <w:t>1,38</w:t>
            </w:r>
          </w:p>
        </w:tc>
        <w:tc>
          <w:tcPr>
            <w:tcW w:w="1350" w:type="dxa"/>
            <w:tcMar>
              <w:left w:w="105" w:type="dxa"/>
              <w:right w:w="105" w:type="dxa"/>
            </w:tcMar>
            <w:vAlign w:val="center"/>
          </w:tcPr>
          <w:p w14:paraId="2DAE46C5" w14:textId="7E42A804" w:rsidR="153AC3E6" w:rsidRDefault="5AA41DEF" w:rsidP="0FF8C3A4">
            <w:pPr>
              <w:spacing w:after="0" w:line="276" w:lineRule="auto"/>
              <w:jc w:val="center"/>
              <w:rPr>
                <w:rFonts w:eastAsia="Arial" w:cs="Arial"/>
                <w:sz w:val="16"/>
                <w:szCs w:val="16"/>
              </w:rPr>
            </w:pPr>
            <w:r w:rsidRPr="0FF8C3A4">
              <w:rPr>
                <w:rFonts w:eastAsia="Arial" w:cs="Arial"/>
                <w:sz w:val="16"/>
                <w:szCs w:val="16"/>
              </w:rPr>
              <w:t>1,71</w:t>
            </w:r>
          </w:p>
        </w:tc>
        <w:tc>
          <w:tcPr>
            <w:tcW w:w="1095" w:type="dxa"/>
            <w:tcMar>
              <w:left w:w="105" w:type="dxa"/>
              <w:right w:w="105" w:type="dxa"/>
            </w:tcMar>
            <w:vAlign w:val="center"/>
          </w:tcPr>
          <w:p w14:paraId="38FB98DE" w14:textId="073EA7A6" w:rsidR="153AC3E6" w:rsidRDefault="5AA41DEF" w:rsidP="0FF8C3A4">
            <w:pPr>
              <w:spacing w:after="0" w:line="276" w:lineRule="auto"/>
              <w:jc w:val="center"/>
              <w:rPr>
                <w:rFonts w:eastAsia="Arial" w:cs="Arial"/>
                <w:sz w:val="16"/>
                <w:szCs w:val="16"/>
              </w:rPr>
            </w:pPr>
            <w:r w:rsidRPr="0FF8C3A4">
              <w:rPr>
                <w:rFonts w:eastAsia="Arial" w:cs="Arial"/>
                <w:sz w:val="16"/>
                <w:szCs w:val="16"/>
              </w:rPr>
              <w:t>1,3</w:t>
            </w:r>
          </w:p>
        </w:tc>
      </w:tr>
      <w:tr w:rsidR="00340920" w14:paraId="41A4BA28" w14:textId="77777777" w:rsidTr="0FF8C3A4">
        <w:trPr>
          <w:trHeight w:val="300"/>
          <w:jc w:val="center"/>
        </w:trPr>
        <w:tc>
          <w:tcPr>
            <w:tcW w:w="1770" w:type="dxa"/>
            <w:tcMar>
              <w:left w:w="105" w:type="dxa"/>
              <w:right w:w="105" w:type="dxa"/>
            </w:tcMar>
            <w:vAlign w:val="center"/>
          </w:tcPr>
          <w:p w14:paraId="03E710B1" w14:textId="3562D8EE"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Nombre de points corrigés</w:t>
            </w:r>
          </w:p>
        </w:tc>
        <w:tc>
          <w:tcPr>
            <w:tcW w:w="1080" w:type="dxa"/>
            <w:tcBorders>
              <w:bottom w:val="single" w:sz="8" w:space="0" w:color="000000" w:themeColor="text1"/>
            </w:tcBorders>
            <w:tcMar>
              <w:left w:w="105" w:type="dxa"/>
              <w:right w:w="105" w:type="dxa"/>
            </w:tcMar>
            <w:vAlign w:val="center"/>
          </w:tcPr>
          <w:p w14:paraId="4A746760" w14:textId="4E88B083" w:rsidR="153AC3E6" w:rsidRDefault="5AA41DEF" w:rsidP="0FF8C3A4">
            <w:pPr>
              <w:spacing w:after="0" w:line="276" w:lineRule="auto"/>
              <w:jc w:val="center"/>
              <w:rPr>
                <w:rFonts w:eastAsia="Arial" w:cs="Arial"/>
                <w:sz w:val="16"/>
                <w:szCs w:val="16"/>
              </w:rPr>
            </w:pPr>
            <w:r w:rsidRPr="0FF8C3A4">
              <w:rPr>
                <w:rFonts w:eastAsia="Arial" w:cs="Arial"/>
                <w:sz w:val="16"/>
                <w:szCs w:val="16"/>
              </w:rPr>
              <w:t>1</w:t>
            </w:r>
          </w:p>
        </w:tc>
        <w:tc>
          <w:tcPr>
            <w:tcW w:w="1215" w:type="dxa"/>
            <w:tcBorders>
              <w:bottom w:val="single" w:sz="8" w:space="0" w:color="000000" w:themeColor="text1"/>
            </w:tcBorders>
            <w:tcMar>
              <w:left w:w="105" w:type="dxa"/>
              <w:right w:w="105" w:type="dxa"/>
            </w:tcMar>
            <w:vAlign w:val="center"/>
          </w:tcPr>
          <w:p w14:paraId="3F0BD53E" w14:textId="35549B49" w:rsidR="153AC3E6" w:rsidRDefault="5AA41DEF" w:rsidP="0FF8C3A4">
            <w:pPr>
              <w:spacing w:after="0" w:line="276" w:lineRule="auto"/>
              <w:jc w:val="center"/>
              <w:rPr>
                <w:rFonts w:eastAsia="Arial" w:cs="Arial"/>
                <w:sz w:val="16"/>
                <w:szCs w:val="16"/>
              </w:rPr>
            </w:pPr>
            <w:r w:rsidRPr="0FF8C3A4">
              <w:rPr>
                <w:rFonts w:eastAsia="Arial" w:cs="Arial"/>
                <w:sz w:val="16"/>
                <w:szCs w:val="16"/>
              </w:rPr>
              <w:t>3</w:t>
            </w:r>
          </w:p>
        </w:tc>
        <w:tc>
          <w:tcPr>
            <w:tcW w:w="1215" w:type="dxa"/>
            <w:tcBorders>
              <w:bottom w:val="single" w:sz="8" w:space="0" w:color="000000" w:themeColor="text1"/>
            </w:tcBorders>
            <w:tcMar>
              <w:left w:w="105" w:type="dxa"/>
              <w:right w:w="105" w:type="dxa"/>
            </w:tcMar>
            <w:vAlign w:val="center"/>
          </w:tcPr>
          <w:p w14:paraId="737C41F7" w14:textId="7D9424A9" w:rsidR="153AC3E6" w:rsidRDefault="5AA41DEF" w:rsidP="0FF8C3A4">
            <w:pPr>
              <w:spacing w:after="0" w:line="276" w:lineRule="auto"/>
              <w:jc w:val="center"/>
              <w:rPr>
                <w:rFonts w:eastAsia="Arial" w:cs="Arial"/>
                <w:sz w:val="16"/>
                <w:szCs w:val="16"/>
              </w:rPr>
            </w:pPr>
            <w:r w:rsidRPr="0FF8C3A4">
              <w:rPr>
                <w:rFonts w:eastAsia="Arial" w:cs="Arial"/>
                <w:sz w:val="16"/>
                <w:szCs w:val="16"/>
              </w:rPr>
              <w:t>3</w:t>
            </w:r>
          </w:p>
        </w:tc>
        <w:tc>
          <w:tcPr>
            <w:tcW w:w="1005" w:type="dxa"/>
            <w:tcBorders>
              <w:bottom w:val="single" w:sz="8" w:space="0" w:color="000000" w:themeColor="text1"/>
            </w:tcBorders>
            <w:tcMar>
              <w:left w:w="105" w:type="dxa"/>
              <w:right w:w="105" w:type="dxa"/>
            </w:tcMar>
            <w:vAlign w:val="center"/>
          </w:tcPr>
          <w:p w14:paraId="3FB4F908" w14:textId="72E37A32" w:rsidR="153AC3E6" w:rsidRDefault="5AA41DEF" w:rsidP="0FF8C3A4">
            <w:pPr>
              <w:spacing w:after="0" w:line="276" w:lineRule="auto"/>
              <w:jc w:val="center"/>
              <w:rPr>
                <w:rFonts w:eastAsia="Arial" w:cs="Arial"/>
                <w:sz w:val="16"/>
                <w:szCs w:val="16"/>
              </w:rPr>
            </w:pPr>
            <w:r w:rsidRPr="0FF8C3A4">
              <w:rPr>
                <w:rFonts w:eastAsia="Arial" w:cs="Arial"/>
                <w:sz w:val="16"/>
                <w:szCs w:val="16"/>
              </w:rPr>
              <w:t>4</w:t>
            </w:r>
          </w:p>
        </w:tc>
        <w:tc>
          <w:tcPr>
            <w:tcW w:w="1350" w:type="dxa"/>
            <w:tcBorders>
              <w:bottom w:val="single" w:sz="8" w:space="0" w:color="000000" w:themeColor="text1"/>
            </w:tcBorders>
            <w:tcMar>
              <w:left w:w="105" w:type="dxa"/>
              <w:right w:w="105" w:type="dxa"/>
            </w:tcMar>
            <w:vAlign w:val="center"/>
          </w:tcPr>
          <w:p w14:paraId="655D250B" w14:textId="2DE9E3ED" w:rsidR="153AC3E6" w:rsidRDefault="5AA41DEF" w:rsidP="0FF8C3A4">
            <w:pPr>
              <w:spacing w:after="0" w:line="276" w:lineRule="auto"/>
              <w:jc w:val="center"/>
              <w:rPr>
                <w:rFonts w:eastAsia="Arial" w:cs="Arial"/>
                <w:sz w:val="16"/>
                <w:szCs w:val="16"/>
              </w:rPr>
            </w:pPr>
            <w:r w:rsidRPr="0FF8C3A4">
              <w:rPr>
                <w:rFonts w:eastAsia="Arial" w:cs="Arial"/>
                <w:sz w:val="16"/>
                <w:szCs w:val="16"/>
              </w:rPr>
              <w:t>5</w:t>
            </w:r>
          </w:p>
        </w:tc>
        <w:tc>
          <w:tcPr>
            <w:tcW w:w="1095" w:type="dxa"/>
            <w:tcBorders>
              <w:bottom w:val="single" w:sz="8" w:space="0" w:color="000000" w:themeColor="text1"/>
            </w:tcBorders>
            <w:tcMar>
              <w:left w:w="105" w:type="dxa"/>
              <w:right w:w="105" w:type="dxa"/>
            </w:tcMar>
            <w:vAlign w:val="center"/>
          </w:tcPr>
          <w:p w14:paraId="315EDD12" w14:textId="6A901555" w:rsidR="153AC3E6" w:rsidRDefault="5AA41DEF" w:rsidP="0FF8C3A4">
            <w:pPr>
              <w:spacing w:after="0" w:line="276" w:lineRule="auto"/>
              <w:jc w:val="center"/>
              <w:rPr>
                <w:rFonts w:eastAsia="Arial" w:cs="Arial"/>
                <w:sz w:val="16"/>
                <w:szCs w:val="16"/>
              </w:rPr>
            </w:pPr>
            <w:r w:rsidRPr="0FF8C3A4">
              <w:rPr>
                <w:rFonts w:eastAsia="Arial" w:cs="Arial"/>
                <w:sz w:val="16"/>
                <w:szCs w:val="16"/>
              </w:rPr>
              <w:t>5</w:t>
            </w:r>
          </w:p>
        </w:tc>
      </w:tr>
      <w:tr w:rsidR="00340920" w14:paraId="5D818D88" w14:textId="77777777" w:rsidTr="0FF8C3A4">
        <w:trPr>
          <w:trHeight w:val="300"/>
          <w:jc w:val="center"/>
        </w:trPr>
        <w:tc>
          <w:tcPr>
            <w:tcW w:w="1770" w:type="dxa"/>
            <w:tcBorders>
              <w:left w:val="none" w:sz="8" w:space="0" w:color="000000" w:themeColor="text1"/>
              <w:bottom w:val="none" w:sz="8" w:space="0" w:color="000000" w:themeColor="text1"/>
              <w:right w:val="none" w:sz="8" w:space="0" w:color="000000" w:themeColor="text1"/>
            </w:tcBorders>
            <w:tcMar>
              <w:left w:w="105" w:type="dxa"/>
              <w:right w:w="105" w:type="dxa"/>
            </w:tcMar>
            <w:vAlign w:val="center"/>
          </w:tcPr>
          <w:p w14:paraId="38F5626A" w14:textId="5C6C802E" w:rsidR="153AC3E6" w:rsidRDefault="153AC3E6" w:rsidP="13C70224">
            <w:pPr>
              <w:spacing w:after="0" w:line="276" w:lineRule="auto"/>
              <w:jc w:val="both"/>
              <w:rPr>
                <w:rFonts w:eastAsia="Arial" w:cs="Arial"/>
                <w:sz w:val="16"/>
                <w:szCs w:val="16"/>
              </w:rPr>
            </w:pPr>
          </w:p>
        </w:tc>
        <w:tc>
          <w:tcPr>
            <w:tcW w:w="1080"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23AF35BC" w14:textId="5778C303" w:rsidR="153AC3E6" w:rsidRDefault="153AC3E6" w:rsidP="13C70224">
            <w:pPr>
              <w:spacing w:after="0" w:line="276" w:lineRule="auto"/>
              <w:jc w:val="both"/>
              <w:rPr>
                <w:rFonts w:eastAsia="Arial" w:cs="Arial"/>
                <w:sz w:val="16"/>
                <w:szCs w:val="16"/>
              </w:rPr>
            </w:pPr>
          </w:p>
        </w:tc>
        <w:tc>
          <w:tcPr>
            <w:tcW w:w="1215"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2FD4F937" w14:textId="6E5EEE95" w:rsidR="153AC3E6" w:rsidRDefault="153AC3E6" w:rsidP="13C70224">
            <w:pPr>
              <w:spacing w:after="0" w:line="276" w:lineRule="auto"/>
              <w:jc w:val="both"/>
              <w:rPr>
                <w:rFonts w:eastAsia="Arial" w:cs="Arial"/>
                <w:sz w:val="16"/>
                <w:szCs w:val="16"/>
              </w:rPr>
            </w:pPr>
          </w:p>
        </w:tc>
        <w:tc>
          <w:tcPr>
            <w:tcW w:w="1215"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60823307" w14:textId="75AB434E" w:rsidR="153AC3E6" w:rsidRDefault="153AC3E6" w:rsidP="13C70224">
            <w:pPr>
              <w:spacing w:after="0" w:line="276" w:lineRule="auto"/>
              <w:jc w:val="both"/>
              <w:rPr>
                <w:rFonts w:eastAsia="Arial" w:cs="Arial"/>
                <w:sz w:val="16"/>
                <w:szCs w:val="16"/>
              </w:rPr>
            </w:pPr>
          </w:p>
        </w:tc>
        <w:tc>
          <w:tcPr>
            <w:tcW w:w="1005"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6D6D43B0" w14:textId="124DBAAC" w:rsidR="153AC3E6" w:rsidRDefault="153AC3E6" w:rsidP="13C70224">
            <w:pPr>
              <w:spacing w:after="0" w:line="276" w:lineRule="auto"/>
              <w:jc w:val="both"/>
              <w:rPr>
                <w:rFonts w:eastAsia="Arial" w:cs="Arial"/>
                <w:sz w:val="16"/>
                <w:szCs w:val="16"/>
              </w:rPr>
            </w:pPr>
          </w:p>
        </w:tc>
        <w:tc>
          <w:tcPr>
            <w:tcW w:w="1350"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59319677" w14:textId="33C65272" w:rsidR="153AC3E6" w:rsidRDefault="153AC3E6" w:rsidP="13C70224">
            <w:pPr>
              <w:spacing w:after="0" w:line="276" w:lineRule="auto"/>
              <w:jc w:val="both"/>
              <w:rPr>
                <w:rFonts w:eastAsia="Arial" w:cs="Arial"/>
                <w:sz w:val="16"/>
                <w:szCs w:val="16"/>
              </w:rPr>
            </w:pPr>
          </w:p>
        </w:tc>
        <w:tc>
          <w:tcPr>
            <w:tcW w:w="1095" w:type="dxa"/>
            <w:tcBorders>
              <w:top w:val="single" w:sz="8" w:space="0" w:color="000000" w:themeColor="text1"/>
              <w:left w:val="none" w:sz="8" w:space="0" w:color="000000" w:themeColor="text1"/>
              <w:bottom w:val="single" w:sz="8" w:space="0" w:color="000000" w:themeColor="text1"/>
              <w:right w:val="none" w:sz="8" w:space="0" w:color="000000" w:themeColor="text1"/>
            </w:tcBorders>
            <w:tcMar>
              <w:left w:w="105" w:type="dxa"/>
              <w:right w:w="105" w:type="dxa"/>
            </w:tcMar>
            <w:vAlign w:val="center"/>
          </w:tcPr>
          <w:p w14:paraId="7692FDDA" w14:textId="69A8FF55" w:rsidR="153AC3E6" w:rsidRDefault="153AC3E6" w:rsidP="13C70224">
            <w:pPr>
              <w:spacing w:after="0" w:line="276" w:lineRule="auto"/>
              <w:jc w:val="both"/>
              <w:rPr>
                <w:rFonts w:eastAsia="Arial" w:cs="Arial"/>
                <w:sz w:val="16"/>
                <w:szCs w:val="16"/>
              </w:rPr>
            </w:pPr>
          </w:p>
        </w:tc>
      </w:tr>
      <w:tr w:rsidR="00340920" w14:paraId="26E2D522" w14:textId="77777777" w:rsidTr="0FF8C3A4">
        <w:trPr>
          <w:trHeight w:val="300"/>
          <w:jc w:val="center"/>
        </w:trPr>
        <w:tc>
          <w:tcPr>
            <w:tcW w:w="1770" w:type="dxa"/>
            <w:tcBorders>
              <w:top w:val="none" w:sz="8" w:space="0" w:color="000000" w:themeColor="text1"/>
              <w:left w:val="none" w:sz="8" w:space="0" w:color="000000" w:themeColor="text1"/>
            </w:tcBorders>
            <w:tcMar>
              <w:left w:w="105" w:type="dxa"/>
              <w:right w:w="105" w:type="dxa"/>
            </w:tcMar>
            <w:vAlign w:val="center"/>
          </w:tcPr>
          <w:p w14:paraId="51FCC017" w14:textId="66DD1CFB" w:rsidR="153AC3E6" w:rsidRDefault="153AC3E6" w:rsidP="13C70224">
            <w:pPr>
              <w:spacing w:after="0" w:line="276" w:lineRule="auto"/>
              <w:jc w:val="both"/>
              <w:rPr>
                <w:rFonts w:eastAsia="Arial" w:cs="Arial"/>
                <w:sz w:val="16"/>
                <w:szCs w:val="16"/>
              </w:rPr>
            </w:pPr>
          </w:p>
        </w:tc>
        <w:tc>
          <w:tcPr>
            <w:tcW w:w="1080" w:type="dxa"/>
            <w:tcBorders>
              <w:top w:val="single" w:sz="8" w:space="0" w:color="000000" w:themeColor="text1"/>
            </w:tcBorders>
            <w:tcMar>
              <w:left w:w="105" w:type="dxa"/>
              <w:right w:w="105" w:type="dxa"/>
            </w:tcMar>
            <w:vAlign w:val="center"/>
          </w:tcPr>
          <w:p w14:paraId="36F29180" w14:textId="74E7E2E9"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Emines</w:t>
            </w:r>
          </w:p>
        </w:tc>
        <w:tc>
          <w:tcPr>
            <w:tcW w:w="1215" w:type="dxa"/>
            <w:tcBorders>
              <w:top w:val="single" w:sz="8" w:space="0" w:color="000000" w:themeColor="text1"/>
            </w:tcBorders>
            <w:tcMar>
              <w:left w:w="105" w:type="dxa"/>
              <w:right w:w="105" w:type="dxa"/>
            </w:tcMar>
            <w:vAlign w:val="center"/>
          </w:tcPr>
          <w:p w14:paraId="16DE3C25" w14:textId="1F741EF5"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PtiSeumoy</w:t>
            </w:r>
            <w:proofErr w:type="spellEnd"/>
          </w:p>
        </w:tc>
        <w:tc>
          <w:tcPr>
            <w:tcW w:w="1215" w:type="dxa"/>
            <w:tcBorders>
              <w:top w:val="single" w:sz="8" w:space="0" w:color="000000" w:themeColor="text1"/>
            </w:tcBorders>
            <w:tcMar>
              <w:left w:w="105" w:type="dxa"/>
              <w:right w:w="105" w:type="dxa"/>
            </w:tcMar>
            <w:vAlign w:val="center"/>
          </w:tcPr>
          <w:p w14:paraId="4213AA6C" w14:textId="6CC134F7"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GrdVillers</w:t>
            </w:r>
            <w:proofErr w:type="spellEnd"/>
          </w:p>
        </w:tc>
        <w:tc>
          <w:tcPr>
            <w:tcW w:w="1005" w:type="dxa"/>
            <w:tcBorders>
              <w:top w:val="single" w:sz="8" w:space="0" w:color="000000" w:themeColor="text1"/>
            </w:tcBorders>
            <w:tcMar>
              <w:left w:w="105" w:type="dxa"/>
              <w:right w:w="105" w:type="dxa"/>
            </w:tcMar>
            <w:vAlign w:val="center"/>
          </w:tcPr>
          <w:p w14:paraId="2D337F45" w14:textId="25486CBA"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ThAuto</w:t>
            </w:r>
            <w:proofErr w:type="spellEnd"/>
          </w:p>
        </w:tc>
        <w:tc>
          <w:tcPr>
            <w:tcW w:w="1350" w:type="dxa"/>
            <w:tcBorders>
              <w:top w:val="single" w:sz="8" w:space="0" w:color="000000" w:themeColor="text1"/>
            </w:tcBorders>
            <w:tcMar>
              <w:left w:w="105" w:type="dxa"/>
              <w:right w:w="105" w:type="dxa"/>
            </w:tcMar>
            <w:vAlign w:val="center"/>
          </w:tcPr>
          <w:p w14:paraId="34697BEB" w14:textId="158D5532" w:rsidR="153AC3E6" w:rsidRDefault="5AA41DEF" w:rsidP="0FF8C3A4">
            <w:pPr>
              <w:spacing w:after="0" w:line="276" w:lineRule="auto"/>
              <w:jc w:val="center"/>
              <w:rPr>
                <w:rFonts w:eastAsia="Arial" w:cs="Arial"/>
                <w:sz w:val="16"/>
                <w:szCs w:val="16"/>
              </w:rPr>
            </w:pPr>
            <w:proofErr w:type="spellStart"/>
            <w:r w:rsidRPr="0FF8C3A4">
              <w:rPr>
                <w:rFonts w:eastAsia="Arial" w:cs="Arial"/>
                <w:b/>
                <w:bCs/>
                <w:sz w:val="16"/>
                <w:szCs w:val="16"/>
              </w:rPr>
              <w:t>GrdSeumoy</w:t>
            </w:r>
            <w:proofErr w:type="spellEnd"/>
          </w:p>
        </w:tc>
        <w:tc>
          <w:tcPr>
            <w:tcW w:w="1095" w:type="dxa"/>
            <w:tcBorders>
              <w:top w:val="single" w:sz="8" w:space="0" w:color="000000" w:themeColor="text1"/>
            </w:tcBorders>
            <w:tcMar>
              <w:left w:w="105" w:type="dxa"/>
              <w:right w:w="105" w:type="dxa"/>
            </w:tcMar>
            <w:vAlign w:val="center"/>
          </w:tcPr>
          <w:p w14:paraId="7C04D407" w14:textId="3A7DB5E4" w:rsidR="153AC3E6" w:rsidRDefault="5AA41DEF" w:rsidP="0FF8C3A4">
            <w:pPr>
              <w:spacing w:after="0" w:line="276" w:lineRule="auto"/>
              <w:jc w:val="center"/>
              <w:rPr>
                <w:rFonts w:eastAsia="Arial" w:cs="Arial"/>
                <w:color w:val="000000" w:themeColor="text1"/>
                <w:sz w:val="16"/>
                <w:szCs w:val="16"/>
              </w:rPr>
            </w:pPr>
            <w:r w:rsidRPr="0FF8C3A4">
              <w:rPr>
                <w:rFonts w:eastAsia="Arial" w:cs="Arial"/>
                <w:b/>
                <w:bCs/>
                <w:color w:val="000000" w:themeColor="text1"/>
                <w:sz w:val="16"/>
                <w:szCs w:val="16"/>
              </w:rPr>
              <w:t>Pivot</w:t>
            </w:r>
          </w:p>
        </w:tc>
      </w:tr>
      <w:tr w:rsidR="00340920" w14:paraId="40AAB496" w14:textId="77777777" w:rsidTr="0FF8C3A4">
        <w:trPr>
          <w:trHeight w:val="300"/>
          <w:jc w:val="center"/>
        </w:trPr>
        <w:tc>
          <w:tcPr>
            <w:tcW w:w="1770" w:type="dxa"/>
            <w:tcMar>
              <w:left w:w="105" w:type="dxa"/>
              <w:right w:w="105" w:type="dxa"/>
            </w:tcMar>
            <w:vAlign w:val="center"/>
          </w:tcPr>
          <w:p w14:paraId="62B8E59C" w14:textId="70FF48D9"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Surface (ha)</w:t>
            </w:r>
          </w:p>
        </w:tc>
        <w:tc>
          <w:tcPr>
            <w:tcW w:w="1080" w:type="dxa"/>
            <w:tcMar>
              <w:left w:w="105" w:type="dxa"/>
              <w:right w:w="105" w:type="dxa"/>
            </w:tcMar>
            <w:vAlign w:val="center"/>
          </w:tcPr>
          <w:p w14:paraId="698C4921" w14:textId="14C5AD53" w:rsidR="153AC3E6" w:rsidRDefault="5AA41DEF" w:rsidP="0FF8C3A4">
            <w:pPr>
              <w:spacing w:after="0" w:line="276" w:lineRule="auto"/>
              <w:jc w:val="center"/>
              <w:rPr>
                <w:rFonts w:eastAsia="Arial" w:cs="Arial"/>
                <w:sz w:val="16"/>
                <w:szCs w:val="16"/>
              </w:rPr>
            </w:pPr>
            <w:r w:rsidRPr="0FF8C3A4">
              <w:rPr>
                <w:rFonts w:eastAsia="Arial" w:cs="Arial"/>
                <w:sz w:val="16"/>
                <w:szCs w:val="16"/>
              </w:rPr>
              <w:t>8,59</w:t>
            </w:r>
          </w:p>
        </w:tc>
        <w:tc>
          <w:tcPr>
            <w:tcW w:w="1215" w:type="dxa"/>
            <w:tcMar>
              <w:left w:w="105" w:type="dxa"/>
              <w:right w:w="105" w:type="dxa"/>
            </w:tcMar>
            <w:vAlign w:val="center"/>
          </w:tcPr>
          <w:p w14:paraId="5AC76AA2" w14:textId="7DFF0409" w:rsidR="153AC3E6" w:rsidRDefault="5AA41DEF" w:rsidP="0FF8C3A4">
            <w:pPr>
              <w:spacing w:after="0" w:line="276" w:lineRule="auto"/>
              <w:jc w:val="center"/>
              <w:rPr>
                <w:rFonts w:eastAsia="Arial" w:cs="Arial"/>
                <w:sz w:val="16"/>
                <w:szCs w:val="16"/>
              </w:rPr>
            </w:pPr>
            <w:r w:rsidRPr="0FF8C3A4">
              <w:rPr>
                <w:rFonts w:eastAsia="Arial" w:cs="Arial"/>
                <w:sz w:val="16"/>
                <w:szCs w:val="16"/>
              </w:rPr>
              <w:t>11,34</w:t>
            </w:r>
          </w:p>
        </w:tc>
        <w:tc>
          <w:tcPr>
            <w:tcW w:w="1215" w:type="dxa"/>
            <w:tcMar>
              <w:left w:w="105" w:type="dxa"/>
              <w:right w:w="105" w:type="dxa"/>
            </w:tcMar>
            <w:vAlign w:val="center"/>
          </w:tcPr>
          <w:p w14:paraId="25545022" w14:textId="4554D4F0" w:rsidR="153AC3E6" w:rsidRDefault="5AA41DEF" w:rsidP="0FF8C3A4">
            <w:pPr>
              <w:spacing w:after="0" w:line="276" w:lineRule="auto"/>
              <w:jc w:val="center"/>
              <w:rPr>
                <w:rFonts w:eastAsia="Arial" w:cs="Arial"/>
                <w:sz w:val="16"/>
                <w:szCs w:val="16"/>
              </w:rPr>
            </w:pPr>
            <w:r w:rsidRPr="0FF8C3A4">
              <w:rPr>
                <w:rFonts w:eastAsia="Arial" w:cs="Arial"/>
                <w:sz w:val="16"/>
                <w:szCs w:val="16"/>
              </w:rPr>
              <w:t>19,8</w:t>
            </w:r>
          </w:p>
        </w:tc>
        <w:tc>
          <w:tcPr>
            <w:tcW w:w="1005" w:type="dxa"/>
            <w:tcMar>
              <w:left w:w="105" w:type="dxa"/>
              <w:right w:w="105" w:type="dxa"/>
            </w:tcMar>
            <w:vAlign w:val="center"/>
          </w:tcPr>
          <w:p w14:paraId="2B551961" w14:textId="1232E1E8" w:rsidR="153AC3E6" w:rsidRDefault="5AA41DEF" w:rsidP="0FF8C3A4">
            <w:pPr>
              <w:spacing w:after="0" w:line="276" w:lineRule="auto"/>
              <w:jc w:val="center"/>
              <w:rPr>
                <w:rFonts w:eastAsia="Arial" w:cs="Arial"/>
                <w:sz w:val="16"/>
                <w:szCs w:val="16"/>
              </w:rPr>
            </w:pPr>
            <w:r w:rsidRPr="0FF8C3A4">
              <w:rPr>
                <w:rFonts w:eastAsia="Arial" w:cs="Arial"/>
                <w:sz w:val="16"/>
                <w:szCs w:val="16"/>
              </w:rPr>
              <w:t>20,37</w:t>
            </w:r>
          </w:p>
        </w:tc>
        <w:tc>
          <w:tcPr>
            <w:tcW w:w="1350" w:type="dxa"/>
            <w:tcMar>
              <w:left w:w="105" w:type="dxa"/>
              <w:right w:w="105" w:type="dxa"/>
            </w:tcMar>
            <w:vAlign w:val="center"/>
          </w:tcPr>
          <w:p w14:paraId="53F48E43" w14:textId="1F9B5593" w:rsidR="153AC3E6" w:rsidRDefault="5AA41DEF" w:rsidP="0FF8C3A4">
            <w:pPr>
              <w:spacing w:after="0" w:line="276" w:lineRule="auto"/>
              <w:jc w:val="center"/>
              <w:rPr>
                <w:rFonts w:eastAsia="Arial" w:cs="Arial"/>
                <w:sz w:val="16"/>
                <w:szCs w:val="16"/>
              </w:rPr>
            </w:pPr>
            <w:r w:rsidRPr="0FF8C3A4">
              <w:rPr>
                <w:rFonts w:eastAsia="Arial" w:cs="Arial"/>
                <w:sz w:val="16"/>
                <w:szCs w:val="16"/>
              </w:rPr>
              <w:t>20,48</w:t>
            </w:r>
          </w:p>
        </w:tc>
        <w:tc>
          <w:tcPr>
            <w:tcW w:w="1095" w:type="dxa"/>
            <w:tcMar>
              <w:left w:w="105" w:type="dxa"/>
              <w:right w:w="105" w:type="dxa"/>
            </w:tcMar>
            <w:vAlign w:val="center"/>
          </w:tcPr>
          <w:p w14:paraId="45C8995D" w14:textId="39AB7432" w:rsidR="153AC3E6" w:rsidRDefault="5AA41DEF" w:rsidP="0FF8C3A4">
            <w:pPr>
              <w:spacing w:after="0" w:line="276" w:lineRule="auto"/>
              <w:jc w:val="center"/>
              <w:rPr>
                <w:rFonts w:eastAsia="Arial" w:cs="Arial"/>
                <w:color w:val="000000" w:themeColor="text1"/>
                <w:sz w:val="16"/>
                <w:szCs w:val="16"/>
              </w:rPr>
            </w:pPr>
            <w:r w:rsidRPr="0FF8C3A4">
              <w:rPr>
                <w:rFonts w:eastAsia="Arial" w:cs="Arial"/>
                <w:color w:val="000000" w:themeColor="text1"/>
                <w:sz w:val="16"/>
                <w:szCs w:val="16"/>
              </w:rPr>
              <w:t>32,54</w:t>
            </w:r>
          </w:p>
        </w:tc>
      </w:tr>
      <w:tr w:rsidR="00340920" w14:paraId="471B161C" w14:textId="77777777" w:rsidTr="0FF8C3A4">
        <w:trPr>
          <w:trHeight w:val="300"/>
          <w:jc w:val="center"/>
        </w:trPr>
        <w:tc>
          <w:tcPr>
            <w:tcW w:w="1770" w:type="dxa"/>
            <w:tcMar>
              <w:left w:w="105" w:type="dxa"/>
              <w:right w:w="105" w:type="dxa"/>
            </w:tcMar>
            <w:vAlign w:val="center"/>
          </w:tcPr>
          <w:p w14:paraId="7EC222AC" w14:textId="52001045"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Nombre de points d’analyse</w:t>
            </w:r>
          </w:p>
        </w:tc>
        <w:tc>
          <w:tcPr>
            <w:tcW w:w="1080" w:type="dxa"/>
            <w:tcMar>
              <w:left w:w="105" w:type="dxa"/>
              <w:right w:w="105" w:type="dxa"/>
            </w:tcMar>
            <w:vAlign w:val="center"/>
          </w:tcPr>
          <w:p w14:paraId="55E30AE7" w14:textId="5E7A846F" w:rsidR="153AC3E6" w:rsidRDefault="5AA41DEF" w:rsidP="0FF8C3A4">
            <w:pPr>
              <w:spacing w:after="0" w:line="276" w:lineRule="auto"/>
              <w:jc w:val="center"/>
              <w:rPr>
                <w:rFonts w:eastAsia="Arial" w:cs="Arial"/>
                <w:sz w:val="16"/>
                <w:szCs w:val="16"/>
              </w:rPr>
            </w:pPr>
            <w:r w:rsidRPr="0FF8C3A4">
              <w:rPr>
                <w:rFonts w:eastAsia="Arial" w:cs="Arial"/>
                <w:sz w:val="16"/>
                <w:szCs w:val="16"/>
              </w:rPr>
              <w:t>10</w:t>
            </w:r>
          </w:p>
        </w:tc>
        <w:tc>
          <w:tcPr>
            <w:tcW w:w="1215" w:type="dxa"/>
            <w:tcMar>
              <w:left w:w="105" w:type="dxa"/>
              <w:right w:w="105" w:type="dxa"/>
            </w:tcMar>
            <w:vAlign w:val="center"/>
          </w:tcPr>
          <w:p w14:paraId="0A716894" w14:textId="2AB7C238" w:rsidR="153AC3E6" w:rsidRDefault="5AA41DEF" w:rsidP="0FF8C3A4">
            <w:pPr>
              <w:spacing w:after="0" w:line="276" w:lineRule="auto"/>
              <w:jc w:val="center"/>
              <w:rPr>
                <w:rFonts w:eastAsia="Arial" w:cs="Arial"/>
                <w:sz w:val="16"/>
                <w:szCs w:val="16"/>
              </w:rPr>
            </w:pPr>
            <w:r w:rsidRPr="0FF8C3A4">
              <w:rPr>
                <w:rFonts w:eastAsia="Arial" w:cs="Arial"/>
                <w:sz w:val="16"/>
                <w:szCs w:val="16"/>
              </w:rPr>
              <w:t>10</w:t>
            </w:r>
          </w:p>
        </w:tc>
        <w:tc>
          <w:tcPr>
            <w:tcW w:w="1215" w:type="dxa"/>
            <w:tcMar>
              <w:left w:w="105" w:type="dxa"/>
              <w:right w:w="105" w:type="dxa"/>
            </w:tcMar>
            <w:vAlign w:val="center"/>
          </w:tcPr>
          <w:p w14:paraId="0D6FE7DE" w14:textId="5ACD625B" w:rsidR="153AC3E6" w:rsidRDefault="5AA41DEF" w:rsidP="0FF8C3A4">
            <w:pPr>
              <w:spacing w:after="0" w:line="276" w:lineRule="auto"/>
              <w:jc w:val="center"/>
              <w:rPr>
                <w:rFonts w:eastAsia="Arial" w:cs="Arial"/>
                <w:sz w:val="16"/>
                <w:szCs w:val="16"/>
              </w:rPr>
            </w:pPr>
            <w:r w:rsidRPr="0FF8C3A4">
              <w:rPr>
                <w:rFonts w:eastAsia="Arial" w:cs="Arial"/>
                <w:sz w:val="16"/>
                <w:szCs w:val="16"/>
              </w:rPr>
              <w:t>21</w:t>
            </w:r>
          </w:p>
        </w:tc>
        <w:tc>
          <w:tcPr>
            <w:tcW w:w="1005" w:type="dxa"/>
            <w:tcMar>
              <w:left w:w="105" w:type="dxa"/>
              <w:right w:w="105" w:type="dxa"/>
            </w:tcMar>
            <w:vAlign w:val="center"/>
          </w:tcPr>
          <w:p w14:paraId="661B6B57" w14:textId="7BB797E2" w:rsidR="153AC3E6" w:rsidRDefault="5AA41DEF" w:rsidP="0FF8C3A4">
            <w:pPr>
              <w:spacing w:after="0" w:line="276" w:lineRule="auto"/>
              <w:jc w:val="center"/>
              <w:rPr>
                <w:rFonts w:eastAsia="Arial" w:cs="Arial"/>
                <w:sz w:val="16"/>
                <w:szCs w:val="16"/>
              </w:rPr>
            </w:pPr>
            <w:r w:rsidRPr="0FF8C3A4">
              <w:rPr>
                <w:rFonts w:eastAsia="Arial" w:cs="Arial"/>
                <w:sz w:val="16"/>
                <w:szCs w:val="16"/>
              </w:rPr>
              <w:t>17</w:t>
            </w:r>
          </w:p>
        </w:tc>
        <w:tc>
          <w:tcPr>
            <w:tcW w:w="1350" w:type="dxa"/>
            <w:tcMar>
              <w:left w:w="105" w:type="dxa"/>
              <w:right w:w="105" w:type="dxa"/>
            </w:tcMar>
            <w:vAlign w:val="center"/>
          </w:tcPr>
          <w:p w14:paraId="0A587770" w14:textId="372C5274" w:rsidR="153AC3E6" w:rsidRDefault="5AA41DEF" w:rsidP="0FF8C3A4">
            <w:pPr>
              <w:spacing w:after="0" w:line="276" w:lineRule="auto"/>
              <w:jc w:val="center"/>
              <w:rPr>
                <w:rFonts w:eastAsia="Arial" w:cs="Arial"/>
                <w:sz w:val="16"/>
                <w:szCs w:val="16"/>
              </w:rPr>
            </w:pPr>
            <w:r w:rsidRPr="0FF8C3A4">
              <w:rPr>
                <w:rFonts w:eastAsia="Arial" w:cs="Arial"/>
                <w:sz w:val="16"/>
                <w:szCs w:val="16"/>
              </w:rPr>
              <w:t>20</w:t>
            </w:r>
          </w:p>
        </w:tc>
        <w:tc>
          <w:tcPr>
            <w:tcW w:w="1095" w:type="dxa"/>
            <w:tcMar>
              <w:left w:w="105" w:type="dxa"/>
              <w:right w:w="105" w:type="dxa"/>
            </w:tcMar>
            <w:vAlign w:val="center"/>
          </w:tcPr>
          <w:p w14:paraId="23A29874" w14:textId="2D3502DA" w:rsidR="153AC3E6" w:rsidRDefault="5AA41DEF" w:rsidP="0FF8C3A4">
            <w:pPr>
              <w:spacing w:after="0" w:line="276" w:lineRule="auto"/>
              <w:jc w:val="center"/>
              <w:rPr>
                <w:rFonts w:eastAsia="Arial" w:cs="Arial"/>
                <w:color w:val="000000" w:themeColor="text1"/>
                <w:sz w:val="16"/>
                <w:szCs w:val="16"/>
              </w:rPr>
            </w:pPr>
            <w:r w:rsidRPr="0FF8C3A4">
              <w:rPr>
                <w:rFonts w:eastAsia="Arial" w:cs="Arial"/>
                <w:color w:val="000000" w:themeColor="text1"/>
                <w:sz w:val="16"/>
                <w:szCs w:val="16"/>
              </w:rPr>
              <w:t>22</w:t>
            </w:r>
          </w:p>
        </w:tc>
      </w:tr>
      <w:tr w:rsidR="00340920" w14:paraId="6A913CBA" w14:textId="77777777" w:rsidTr="0FF8C3A4">
        <w:trPr>
          <w:trHeight w:val="345"/>
          <w:jc w:val="center"/>
        </w:trPr>
        <w:tc>
          <w:tcPr>
            <w:tcW w:w="1770" w:type="dxa"/>
            <w:tcMar>
              <w:left w:w="105" w:type="dxa"/>
              <w:right w:w="105" w:type="dxa"/>
            </w:tcMar>
            <w:vAlign w:val="center"/>
          </w:tcPr>
          <w:p w14:paraId="77425735" w14:textId="5078D07B" w:rsidR="153AC3E6" w:rsidRDefault="5AA41DEF" w:rsidP="0FF8C3A4">
            <w:pPr>
              <w:spacing w:after="0" w:line="276" w:lineRule="auto"/>
              <w:jc w:val="center"/>
              <w:rPr>
                <w:rFonts w:eastAsia="Arial" w:cs="Arial"/>
                <w:b/>
                <w:bCs/>
                <w:sz w:val="16"/>
                <w:szCs w:val="16"/>
              </w:rPr>
            </w:pPr>
            <w:r w:rsidRPr="0FF8C3A4">
              <w:rPr>
                <w:rFonts w:eastAsia="Arial" w:cs="Arial"/>
                <w:b/>
                <w:bCs/>
                <w:sz w:val="16"/>
                <w:szCs w:val="16"/>
              </w:rPr>
              <w:t>Densité de points (n/ha)</w:t>
            </w:r>
          </w:p>
        </w:tc>
        <w:tc>
          <w:tcPr>
            <w:tcW w:w="1080" w:type="dxa"/>
            <w:tcMar>
              <w:left w:w="105" w:type="dxa"/>
              <w:right w:w="105" w:type="dxa"/>
            </w:tcMar>
            <w:vAlign w:val="center"/>
          </w:tcPr>
          <w:p w14:paraId="0C641A3D" w14:textId="780A967B" w:rsidR="153AC3E6" w:rsidRDefault="5AA41DEF" w:rsidP="0FF8C3A4">
            <w:pPr>
              <w:spacing w:after="0" w:line="276" w:lineRule="auto"/>
              <w:jc w:val="center"/>
              <w:rPr>
                <w:rFonts w:eastAsia="Arial" w:cs="Arial"/>
                <w:sz w:val="16"/>
                <w:szCs w:val="16"/>
              </w:rPr>
            </w:pPr>
            <w:r w:rsidRPr="0FF8C3A4">
              <w:rPr>
                <w:rFonts w:eastAsia="Arial" w:cs="Arial"/>
                <w:sz w:val="16"/>
                <w:szCs w:val="16"/>
              </w:rPr>
              <w:t>1,16</w:t>
            </w:r>
          </w:p>
        </w:tc>
        <w:tc>
          <w:tcPr>
            <w:tcW w:w="1215" w:type="dxa"/>
            <w:tcMar>
              <w:left w:w="105" w:type="dxa"/>
              <w:right w:w="105" w:type="dxa"/>
            </w:tcMar>
            <w:vAlign w:val="center"/>
          </w:tcPr>
          <w:p w14:paraId="6AD739A3" w14:textId="4E01098D" w:rsidR="153AC3E6" w:rsidRDefault="5AA41DEF" w:rsidP="0FF8C3A4">
            <w:pPr>
              <w:spacing w:after="0" w:line="276" w:lineRule="auto"/>
              <w:jc w:val="center"/>
              <w:rPr>
                <w:rFonts w:eastAsia="Arial" w:cs="Arial"/>
                <w:sz w:val="16"/>
                <w:szCs w:val="16"/>
              </w:rPr>
            </w:pPr>
            <w:r w:rsidRPr="0FF8C3A4">
              <w:rPr>
                <w:rFonts w:eastAsia="Arial" w:cs="Arial"/>
                <w:sz w:val="16"/>
                <w:szCs w:val="16"/>
              </w:rPr>
              <w:t>0,88</w:t>
            </w:r>
          </w:p>
        </w:tc>
        <w:tc>
          <w:tcPr>
            <w:tcW w:w="1215" w:type="dxa"/>
            <w:tcMar>
              <w:left w:w="105" w:type="dxa"/>
              <w:right w:w="105" w:type="dxa"/>
            </w:tcMar>
            <w:vAlign w:val="center"/>
          </w:tcPr>
          <w:p w14:paraId="23D86EBB" w14:textId="77C11237" w:rsidR="153AC3E6" w:rsidRDefault="5AA41DEF" w:rsidP="0FF8C3A4">
            <w:pPr>
              <w:spacing w:after="0" w:line="276" w:lineRule="auto"/>
              <w:jc w:val="center"/>
              <w:rPr>
                <w:rFonts w:eastAsia="Arial" w:cs="Arial"/>
                <w:sz w:val="16"/>
                <w:szCs w:val="16"/>
              </w:rPr>
            </w:pPr>
            <w:r w:rsidRPr="0FF8C3A4">
              <w:rPr>
                <w:rFonts w:eastAsia="Arial" w:cs="Arial"/>
                <w:sz w:val="16"/>
                <w:szCs w:val="16"/>
              </w:rPr>
              <w:t>1,06</w:t>
            </w:r>
          </w:p>
        </w:tc>
        <w:tc>
          <w:tcPr>
            <w:tcW w:w="1005" w:type="dxa"/>
            <w:tcMar>
              <w:left w:w="105" w:type="dxa"/>
              <w:right w:w="105" w:type="dxa"/>
            </w:tcMar>
            <w:vAlign w:val="center"/>
          </w:tcPr>
          <w:p w14:paraId="2EA87F7D" w14:textId="2A3AF124" w:rsidR="153AC3E6" w:rsidRDefault="5AA41DEF" w:rsidP="0FF8C3A4">
            <w:pPr>
              <w:spacing w:after="0" w:line="276" w:lineRule="auto"/>
              <w:jc w:val="center"/>
              <w:rPr>
                <w:rFonts w:eastAsia="Arial" w:cs="Arial"/>
                <w:sz w:val="16"/>
                <w:szCs w:val="16"/>
              </w:rPr>
            </w:pPr>
            <w:r w:rsidRPr="0FF8C3A4">
              <w:rPr>
                <w:rFonts w:eastAsia="Arial" w:cs="Arial"/>
                <w:sz w:val="16"/>
                <w:szCs w:val="16"/>
              </w:rPr>
              <w:t>0,83</w:t>
            </w:r>
          </w:p>
        </w:tc>
        <w:tc>
          <w:tcPr>
            <w:tcW w:w="1350" w:type="dxa"/>
            <w:tcMar>
              <w:left w:w="105" w:type="dxa"/>
              <w:right w:w="105" w:type="dxa"/>
            </w:tcMar>
            <w:vAlign w:val="center"/>
          </w:tcPr>
          <w:p w14:paraId="64886AD3" w14:textId="639E39F2" w:rsidR="153AC3E6" w:rsidRDefault="5AA41DEF" w:rsidP="0FF8C3A4">
            <w:pPr>
              <w:spacing w:after="0" w:line="276" w:lineRule="auto"/>
              <w:jc w:val="center"/>
              <w:rPr>
                <w:rFonts w:eastAsia="Arial" w:cs="Arial"/>
                <w:sz w:val="16"/>
                <w:szCs w:val="16"/>
              </w:rPr>
            </w:pPr>
            <w:r w:rsidRPr="0FF8C3A4">
              <w:rPr>
                <w:rFonts w:eastAsia="Arial" w:cs="Arial"/>
                <w:sz w:val="16"/>
                <w:szCs w:val="16"/>
              </w:rPr>
              <w:t>0,98</w:t>
            </w:r>
          </w:p>
        </w:tc>
        <w:tc>
          <w:tcPr>
            <w:tcW w:w="1095" w:type="dxa"/>
            <w:tcMar>
              <w:left w:w="105" w:type="dxa"/>
              <w:right w:w="105" w:type="dxa"/>
            </w:tcMar>
            <w:vAlign w:val="center"/>
          </w:tcPr>
          <w:p w14:paraId="570B751E" w14:textId="6CB7885B" w:rsidR="153AC3E6" w:rsidRDefault="5AA41DEF" w:rsidP="0FF8C3A4">
            <w:pPr>
              <w:spacing w:after="0" w:line="276" w:lineRule="auto"/>
              <w:jc w:val="center"/>
              <w:rPr>
                <w:rFonts w:eastAsia="Arial" w:cs="Arial"/>
                <w:color w:val="000000" w:themeColor="text1"/>
                <w:sz w:val="16"/>
                <w:szCs w:val="16"/>
              </w:rPr>
            </w:pPr>
            <w:r w:rsidRPr="0FF8C3A4">
              <w:rPr>
                <w:rFonts w:eastAsia="Arial" w:cs="Arial"/>
                <w:color w:val="000000" w:themeColor="text1"/>
                <w:sz w:val="16"/>
                <w:szCs w:val="16"/>
              </w:rPr>
              <w:t>0,68</w:t>
            </w:r>
          </w:p>
        </w:tc>
      </w:tr>
      <w:tr w:rsidR="00340920" w14:paraId="63F9B6B1" w14:textId="77777777" w:rsidTr="0FF8C3A4">
        <w:trPr>
          <w:trHeight w:val="300"/>
          <w:jc w:val="center"/>
        </w:trPr>
        <w:tc>
          <w:tcPr>
            <w:tcW w:w="1770" w:type="dxa"/>
            <w:tcMar>
              <w:left w:w="105" w:type="dxa"/>
              <w:right w:w="105" w:type="dxa"/>
            </w:tcMar>
            <w:vAlign w:val="center"/>
          </w:tcPr>
          <w:p w14:paraId="54830B35" w14:textId="2F5EBCB5" w:rsidR="153AC3E6" w:rsidRDefault="5AA41DEF" w:rsidP="0FF8C3A4">
            <w:pPr>
              <w:spacing w:after="0" w:line="276" w:lineRule="auto"/>
              <w:jc w:val="center"/>
              <w:rPr>
                <w:rFonts w:eastAsia="Arial" w:cs="Arial"/>
                <w:sz w:val="16"/>
                <w:szCs w:val="16"/>
              </w:rPr>
            </w:pPr>
            <w:r w:rsidRPr="0FF8C3A4">
              <w:rPr>
                <w:rFonts w:eastAsia="Arial" w:cs="Arial"/>
                <w:b/>
                <w:bCs/>
                <w:sz w:val="16"/>
                <w:szCs w:val="16"/>
              </w:rPr>
              <w:t>Nombre de points corrigés</w:t>
            </w:r>
          </w:p>
        </w:tc>
        <w:tc>
          <w:tcPr>
            <w:tcW w:w="1080" w:type="dxa"/>
            <w:tcMar>
              <w:left w:w="105" w:type="dxa"/>
              <w:right w:w="105" w:type="dxa"/>
            </w:tcMar>
            <w:vAlign w:val="center"/>
          </w:tcPr>
          <w:p w14:paraId="14A7C0DA" w14:textId="15FA24C7" w:rsidR="153AC3E6" w:rsidRDefault="5AA41DEF" w:rsidP="0FF8C3A4">
            <w:pPr>
              <w:spacing w:after="0" w:line="276" w:lineRule="auto"/>
              <w:jc w:val="center"/>
              <w:rPr>
                <w:rFonts w:eastAsia="Arial" w:cs="Arial"/>
                <w:sz w:val="16"/>
                <w:szCs w:val="16"/>
              </w:rPr>
            </w:pPr>
            <w:r w:rsidRPr="0FF8C3A4">
              <w:rPr>
                <w:rFonts w:eastAsia="Arial" w:cs="Arial"/>
                <w:sz w:val="16"/>
                <w:szCs w:val="16"/>
              </w:rPr>
              <w:t>6</w:t>
            </w:r>
          </w:p>
        </w:tc>
        <w:tc>
          <w:tcPr>
            <w:tcW w:w="1215" w:type="dxa"/>
            <w:tcMar>
              <w:left w:w="105" w:type="dxa"/>
              <w:right w:w="105" w:type="dxa"/>
            </w:tcMar>
            <w:vAlign w:val="center"/>
          </w:tcPr>
          <w:p w14:paraId="225B6966" w14:textId="727BC958" w:rsidR="153AC3E6" w:rsidRDefault="5AA41DEF" w:rsidP="0FF8C3A4">
            <w:pPr>
              <w:spacing w:after="0" w:line="276" w:lineRule="auto"/>
              <w:jc w:val="center"/>
              <w:rPr>
                <w:rFonts w:eastAsia="Arial" w:cs="Arial"/>
                <w:sz w:val="16"/>
                <w:szCs w:val="16"/>
              </w:rPr>
            </w:pPr>
            <w:r w:rsidRPr="0FF8C3A4">
              <w:rPr>
                <w:rFonts w:eastAsia="Arial" w:cs="Arial"/>
                <w:sz w:val="16"/>
                <w:szCs w:val="16"/>
              </w:rPr>
              <w:t>8</w:t>
            </w:r>
          </w:p>
        </w:tc>
        <w:tc>
          <w:tcPr>
            <w:tcW w:w="1215" w:type="dxa"/>
            <w:tcMar>
              <w:left w:w="105" w:type="dxa"/>
              <w:right w:w="105" w:type="dxa"/>
            </w:tcMar>
            <w:vAlign w:val="center"/>
          </w:tcPr>
          <w:p w14:paraId="0E52F21D" w14:textId="4C80ABA3" w:rsidR="153AC3E6" w:rsidRDefault="5AA41DEF" w:rsidP="0FF8C3A4">
            <w:pPr>
              <w:spacing w:after="0" w:line="276" w:lineRule="auto"/>
              <w:jc w:val="center"/>
              <w:rPr>
                <w:rFonts w:eastAsia="Arial" w:cs="Arial"/>
                <w:sz w:val="16"/>
                <w:szCs w:val="16"/>
              </w:rPr>
            </w:pPr>
            <w:r w:rsidRPr="0FF8C3A4">
              <w:rPr>
                <w:rFonts w:eastAsia="Arial" w:cs="Arial"/>
                <w:sz w:val="16"/>
                <w:szCs w:val="16"/>
              </w:rPr>
              <w:t>13</w:t>
            </w:r>
          </w:p>
        </w:tc>
        <w:tc>
          <w:tcPr>
            <w:tcW w:w="1005" w:type="dxa"/>
            <w:tcMar>
              <w:left w:w="105" w:type="dxa"/>
              <w:right w:w="105" w:type="dxa"/>
            </w:tcMar>
            <w:vAlign w:val="center"/>
          </w:tcPr>
          <w:p w14:paraId="7D8764BD" w14:textId="6E2287E0" w:rsidR="153AC3E6" w:rsidRDefault="5AA41DEF" w:rsidP="0FF8C3A4">
            <w:pPr>
              <w:spacing w:after="0" w:line="276" w:lineRule="auto"/>
              <w:jc w:val="center"/>
              <w:rPr>
                <w:rFonts w:eastAsia="Arial" w:cs="Arial"/>
                <w:sz w:val="16"/>
                <w:szCs w:val="16"/>
              </w:rPr>
            </w:pPr>
            <w:r w:rsidRPr="0FF8C3A4">
              <w:rPr>
                <w:rFonts w:eastAsia="Arial" w:cs="Arial"/>
                <w:sz w:val="16"/>
                <w:szCs w:val="16"/>
              </w:rPr>
              <w:t>14</w:t>
            </w:r>
          </w:p>
        </w:tc>
        <w:tc>
          <w:tcPr>
            <w:tcW w:w="1350" w:type="dxa"/>
            <w:tcMar>
              <w:left w:w="105" w:type="dxa"/>
              <w:right w:w="105" w:type="dxa"/>
            </w:tcMar>
            <w:vAlign w:val="center"/>
          </w:tcPr>
          <w:p w14:paraId="5844EDD9" w14:textId="621156F6" w:rsidR="153AC3E6" w:rsidRDefault="5AA41DEF" w:rsidP="0FF8C3A4">
            <w:pPr>
              <w:spacing w:after="0" w:line="276" w:lineRule="auto"/>
              <w:jc w:val="center"/>
              <w:rPr>
                <w:rFonts w:eastAsia="Arial" w:cs="Arial"/>
                <w:sz w:val="16"/>
                <w:szCs w:val="16"/>
              </w:rPr>
            </w:pPr>
            <w:r w:rsidRPr="0FF8C3A4">
              <w:rPr>
                <w:rFonts w:eastAsia="Arial" w:cs="Arial"/>
                <w:sz w:val="16"/>
                <w:szCs w:val="16"/>
              </w:rPr>
              <w:t>14</w:t>
            </w:r>
          </w:p>
        </w:tc>
        <w:tc>
          <w:tcPr>
            <w:tcW w:w="1095" w:type="dxa"/>
            <w:tcMar>
              <w:left w:w="105" w:type="dxa"/>
              <w:right w:w="105" w:type="dxa"/>
            </w:tcMar>
            <w:vAlign w:val="center"/>
          </w:tcPr>
          <w:p w14:paraId="04A9BA1A" w14:textId="79517C69" w:rsidR="153AC3E6" w:rsidRDefault="5AA41DEF" w:rsidP="0FF8C3A4">
            <w:pPr>
              <w:spacing w:after="0" w:line="276" w:lineRule="auto"/>
              <w:jc w:val="center"/>
              <w:rPr>
                <w:rFonts w:eastAsia="Arial" w:cs="Arial"/>
                <w:color w:val="000000" w:themeColor="text1"/>
                <w:sz w:val="16"/>
                <w:szCs w:val="16"/>
              </w:rPr>
            </w:pPr>
            <w:r w:rsidRPr="0FF8C3A4">
              <w:rPr>
                <w:rFonts w:eastAsia="Arial" w:cs="Arial"/>
                <w:color w:val="000000" w:themeColor="text1"/>
                <w:sz w:val="16"/>
                <w:szCs w:val="16"/>
              </w:rPr>
              <w:t>22</w:t>
            </w:r>
          </w:p>
        </w:tc>
      </w:tr>
    </w:tbl>
    <w:p w14:paraId="4C3777AE" w14:textId="1D1F17D2" w:rsidR="153AC3E6" w:rsidRDefault="153AC3E6" w:rsidP="13C70224">
      <w:pPr>
        <w:spacing w:line="276" w:lineRule="auto"/>
        <w:jc w:val="both"/>
        <w:rPr>
          <w:rFonts w:eastAsia="Arial" w:cs="Arial"/>
        </w:rPr>
      </w:pPr>
    </w:p>
    <w:p w14:paraId="67E199FA" w14:textId="2E02ADAF" w:rsidR="682B429E" w:rsidRDefault="682B429E" w:rsidP="13C70224">
      <w:pPr>
        <w:spacing w:line="276" w:lineRule="auto"/>
        <w:jc w:val="both"/>
        <w:rPr>
          <w:rFonts w:eastAsia="Arial" w:cs="Arial"/>
        </w:rPr>
      </w:pPr>
      <w:r w:rsidRPr="13C70224">
        <w:rPr>
          <w:rFonts w:eastAsia="Arial" w:cs="Arial"/>
        </w:rPr>
        <w:lastRenderedPageBreak/>
        <w:t xml:space="preserve">Les données ont finalement été sous-échantillonnées </w:t>
      </w:r>
      <w:r w:rsidR="7B5D2B85" w:rsidRPr="13C70224">
        <w:rPr>
          <w:rFonts w:eastAsia="Arial" w:cs="Arial"/>
        </w:rPr>
        <w:t xml:space="preserve">lors des analyses à l’échelle de l’exploitation </w:t>
      </w:r>
      <w:r w:rsidRPr="13C70224">
        <w:rPr>
          <w:rFonts w:eastAsia="Arial" w:cs="Arial"/>
        </w:rPr>
        <w:t xml:space="preserve">de manière à obtenir une densité uniforme de 0,68 point analysé par hectare sur chaque parcelle, soit un total de 98 points. Cette opération a été répétée 100 fois (méthode de </w:t>
      </w:r>
      <w:proofErr w:type="spellStart"/>
      <w:r w:rsidRPr="13C70224">
        <w:rPr>
          <w:rFonts w:eastAsia="Arial" w:cs="Arial"/>
        </w:rPr>
        <w:t>bootstrapping</w:t>
      </w:r>
      <w:proofErr w:type="spellEnd"/>
      <w:r w:rsidRPr="13C70224">
        <w:rPr>
          <w:rFonts w:eastAsia="Arial" w:cs="Arial"/>
        </w:rPr>
        <w:t xml:space="preserve">) afin de limiter les effets aléatoires liés au sous-échantillonnage et de renforcer la robustesse des </w:t>
      </w:r>
      <w:r w:rsidR="29626625" w:rsidRPr="13C70224">
        <w:rPr>
          <w:rFonts w:eastAsia="Arial" w:cs="Arial"/>
        </w:rPr>
        <w:t>analyses</w:t>
      </w:r>
      <w:r w:rsidRPr="13C70224">
        <w:rPr>
          <w:rFonts w:eastAsia="Arial" w:cs="Arial"/>
        </w:rPr>
        <w:t xml:space="preserve">. Pour chaque </w:t>
      </w:r>
      <w:r w:rsidR="6B689B91" w:rsidRPr="13C70224">
        <w:rPr>
          <w:rFonts w:eastAsia="Arial" w:cs="Arial"/>
        </w:rPr>
        <w:t>analyse</w:t>
      </w:r>
      <w:r w:rsidRPr="13C70224">
        <w:rPr>
          <w:rFonts w:eastAsia="Arial" w:cs="Arial"/>
        </w:rPr>
        <w:t>, la moyenne et l’écart type calculé à partir des 100 sous-échantillonnages ont permis de résumer les résultats et d’en estimer la variabilité.</w:t>
      </w:r>
    </w:p>
    <w:p w14:paraId="2BCB9E0A" w14:textId="2011C766" w:rsidR="31197534" w:rsidRDefault="31197534" w:rsidP="13C70224">
      <w:pPr>
        <w:spacing w:line="276" w:lineRule="auto"/>
        <w:jc w:val="both"/>
        <w:rPr>
          <w:rFonts w:eastAsia="Arial" w:cs="Arial"/>
        </w:rPr>
      </w:pPr>
    </w:p>
    <w:p w14:paraId="5FA99A52" w14:textId="17C85FB9" w:rsidR="1D84CD92" w:rsidRDefault="79458CE3" w:rsidP="13C70224">
      <w:pPr>
        <w:pStyle w:val="Titre3"/>
        <w:spacing w:line="276" w:lineRule="auto"/>
        <w:jc w:val="both"/>
        <w:rPr>
          <w:rFonts w:eastAsia="Arial" w:cs="Arial"/>
        </w:rPr>
      </w:pPr>
      <w:r w:rsidRPr="13C70224">
        <w:rPr>
          <w:rFonts w:eastAsia="Arial" w:cs="Arial"/>
        </w:rPr>
        <w:t xml:space="preserve">Statistiques retenues pour les comparaisons </w:t>
      </w:r>
    </w:p>
    <w:p w14:paraId="41D7FE9B" w14:textId="7B816E71" w:rsidR="1D84CD92" w:rsidRDefault="4F3DB290" w:rsidP="13C70224">
      <w:pPr>
        <w:spacing w:line="276" w:lineRule="auto"/>
        <w:jc w:val="both"/>
        <w:rPr>
          <w:rFonts w:eastAsia="Arial" w:cs="Arial"/>
        </w:rPr>
      </w:pPr>
      <w:r w:rsidRPr="13C70224">
        <w:rPr>
          <w:rFonts w:eastAsia="Arial" w:cs="Arial"/>
        </w:rPr>
        <w:t>Le coefficient de concordance de Lin (Lin, 1989 ; Lin et al., 2007), abrégé CC Lin, a été choisi pour évaluer la concordance entre deux séries de mesures</w:t>
      </w:r>
      <w:r w:rsidR="7ACAF12C" w:rsidRPr="13C70224">
        <w:rPr>
          <w:rFonts w:eastAsia="Arial" w:cs="Arial"/>
        </w:rPr>
        <w:t>.</w:t>
      </w:r>
      <w:r w:rsidRPr="13C70224">
        <w:rPr>
          <w:rFonts w:eastAsia="Arial" w:cs="Arial"/>
        </w:rPr>
        <w:t xml:space="preserve"> Cet indicateur est pertinent lorsque les deux séries mesurent le même paramètre du sol et sont exprimées dans la même unité. Contrairement au coefficient de corrélation ou de détermination, le CC Lin p</w:t>
      </w:r>
      <w:r w:rsidR="71CEB4B6" w:rsidRPr="13C70224">
        <w:rPr>
          <w:rFonts w:eastAsia="Arial" w:cs="Arial"/>
        </w:rPr>
        <w:t xml:space="preserve"> présente l’avantage de prendre en compte et de calculer à la fois l’exactitude (définie comme la proximité à la ligne d’identité entre les deux variables étudiées) et la précision (correspondant à la corrélation entre deux séries de mesures), fournissant ainsi une évaluation plus complète de la concordance entre les mesures</w:t>
      </w:r>
      <w:r w:rsidRPr="13C70224">
        <w:rPr>
          <w:rFonts w:eastAsia="Arial" w:cs="Arial"/>
        </w:rPr>
        <w:t xml:space="preserve"> (</w:t>
      </w:r>
      <w:r w:rsidR="3FD827F1" w:rsidRPr="13C70224">
        <w:rPr>
          <w:rFonts w:eastAsia="Arial" w:cs="Arial"/>
        </w:rPr>
        <w:t>figure 13</w:t>
      </w:r>
      <w:r w:rsidRPr="13C70224">
        <w:rPr>
          <w:rFonts w:eastAsia="Arial" w:cs="Arial"/>
        </w:rPr>
        <w:t xml:space="preserve">). </w:t>
      </w:r>
    </w:p>
    <w:p w14:paraId="2ED2AD38" w14:textId="77777777" w:rsidR="00E853A4" w:rsidRDefault="79458CE3" w:rsidP="39F73C8B">
      <w:pPr>
        <w:keepNext/>
        <w:spacing w:line="276" w:lineRule="auto"/>
        <w:jc w:val="center"/>
        <w:rPr>
          <w:rFonts w:eastAsia="Arial" w:cs="Arial"/>
        </w:rPr>
      </w:pPr>
      <w:r>
        <w:rPr>
          <w:noProof/>
        </w:rPr>
        <w:drawing>
          <wp:inline distT="0" distB="0" distL="0" distR="0" wp14:anchorId="271DE742" wp14:editId="0B176850">
            <wp:extent cx="3209625" cy="3022708"/>
            <wp:effectExtent l="0" t="0" r="0" b="6350"/>
            <wp:docPr id="2290856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894776" name=""/>
                    <pic:cNvPicPr/>
                  </pic:nvPicPr>
                  <pic:blipFill>
                    <a:blip r:embed="rId26" cstate="screen">
                      <a:extLst>
                        <a:ext uri="{28A0092B-C50C-407E-A947-70E740481C1C}">
                          <a14:useLocalDpi xmlns:a14="http://schemas.microsoft.com/office/drawing/2010/main"/>
                        </a:ext>
                      </a:extLst>
                    </a:blip>
                    <a:stretch>
                      <a:fillRect/>
                    </a:stretch>
                  </pic:blipFill>
                  <pic:spPr>
                    <a:xfrm>
                      <a:off x="0" y="0"/>
                      <a:ext cx="3209625" cy="3022708"/>
                    </a:xfrm>
                    <a:prstGeom prst="rect">
                      <a:avLst/>
                    </a:prstGeom>
                  </pic:spPr>
                </pic:pic>
              </a:graphicData>
            </a:graphic>
          </wp:inline>
        </w:drawing>
      </w:r>
    </w:p>
    <w:p w14:paraId="2D7FE7B6" w14:textId="7EE85315" w:rsidR="1D84CD92" w:rsidRDefault="2E9961AA" w:rsidP="13C70224">
      <w:pPr>
        <w:pStyle w:val="Lgende"/>
        <w:spacing w:line="276" w:lineRule="auto"/>
        <w:jc w:val="both"/>
        <w:rPr>
          <w:rFonts w:eastAsia="Arial" w:cs="Arial"/>
          <w:highlight w:val="yellow"/>
        </w:rPr>
      </w:pPr>
      <w:bookmarkStart w:id="11" w:name="_Ref221886668"/>
      <w:r w:rsidRPr="3BFF6491">
        <w:rPr>
          <w:rFonts w:eastAsia="Arial" w:cs="Arial"/>
        </w:rPr>
        <w:t xml:space="preserve">Figure </w:t>
      </w:r>
      <w:r w:rsidR="4B87706B" w:rsidRPr="3BFF6491">
        <w:rPr>
          <w:rFonts w:eastAsia="Arial" w:cs="Arial"/>
        </w:rPr>
        <w:t>13</w:t>
      </w:r>
      <w:bookmarkEnd w:id="11"/>
      <w:r w:rsidRPr="3BFF6491">
        <w:rPr>
          <w:rFonts w:eastAsia="Arial" w:cs="Arial"/>
        </w:rPr>
        <w:t>. Notion d’exactitude et de précision. La ligne à 45° en pointillée représente la ligne d’identité entre les valeurs de l’axe X et Y</w:t>
      </w:r>
    </w:p>
    <w:p w14:paraId="44FFCBA1" w14:textId="539B1611" w:rsidR="1D84CD92" w:rsidRDefault="48C0593D" w:rsidP="13C70224">
      <w:pPr>
        <w:spacing w:line="276" w:lineRule="auto"/>
        <w:jc w:val="both"/>
        <w:rPr>
          <w:rFonts w:eastAsia="Arial" w:cs="Arial"/>
        </w:rPr>
      </w:pPr>
      <w:r w:rsidRPr="13C70224">
        <w:rPr>
          <w:rFonts w:eastAsia="Arial" w:cs="Arial"/>
        </w:rPr>
        <w:t xml:space="preserve">La précision (la corrélation) fera l’objet d’une étude plus approfondie. La classification présentée dans Schober et al. (2018) a été utilisé pour interpréter cet indicateur comme suit : </w:t>
      </w:r>
    </w:p>
    <w:p w14:paraId="4ACB25ED" w14:textId="5973B185" w:rsidR="1D84CD92" w:rsidRDefault="1D84CD92" w:rsidP="13C70224">
      <w:pPr>
        <w:pStyle w:val="Paragraphedeliste"/>
        <w:numPr>
          <w:ilvl w:val="0"/>
          <w:numId w:val="21"/>
        </w:numPr>
        <w:spacing w:line="276" w:lineRule="auto"/>
        <w:jc w:val="both"/>
        <w:rPr>
          <w:rFonts w:eastAsia="Arial" w:cs="Arial"/>
        </w:rPr>
      </w:pPr>
      <w:r w:rsidRPr="13C70224">
        <w:rPr>
          <w:rFonts w:eastAsia="Arial" w:cs="Arial"/>
        </w:rPr>
        <w:t xml:space="preserve">-1 - 0,10 : Corrélation mauvaise ou négligeable </w:t>
      </w:r>
    </w:p>
    <w:p w14:paraId="1BD6762A" w14:textId="14159A97" w:rsidR="1D84CD92" w:rsidRDefault="1D84CD92" w:rsidP="13C70224">
      <w:pPr>
        <w:pStyle w:val="Paragraphedeliste"/>
        <w:numPr>
          <w:ilvl w:val="0"/>
          <w:numId w:val="21"/>
        </w:numPr>
        <w:spacing w:line="276" w:lineRule="auto"/>
        <w:jc w:val="both"/>
        <w:rPr>
          <w:rFonts w:eastAsia="Arial" w:cs="Arial"/>
        </w:rPr>
      </w:pPr>
      <w:r w:rsidRPr="13C70224">
        <w:rPr>
          <w:rFonts w:eastAsia="Arial" w:cs="Arial"/>
        </w:rPr>
        <w:t>0,10 - 0,39 : Corrélation faible</w:t>
      </w:r>
    </w:p>
    <w:p w14:paraId="1E81913C" w14:textId="3BDDDA7E" w:rsidR="1D84CD92" w:rsidRDefault="1D84CD92" w:rsidP="13C70224">
      <w:pPr>
        <w:pStyle w:val="Paragraphedeliste"/>
        <w:numPr>
          <w:ilvl w:val="0"/>
          <w:numId w:val="21"/>
        </w:numPr>
        <w:spacing w:line="276" w:lineRule="auto"/>
        <w:jc w:val="both"/>
        <w:rPr>
          <w:rFonts w:eastAsia="Arial" w:cs="Arial"/>
        </w:rPr>
      </w:pPr>
      <w:r w:rsidRPr="13C70224">
        <w:rPr>
          <w:rFonts w:eastAsia="Arial" w:cs="Arial"/>
        </w:rPr>
        <w:t xml:space="preserve">0,40 - 0,69 : Corrélation modérée </w:t>
      </w:r>
    </w:p>
    <w:p w14:paraId="56014489" w14:textId="04AE450A" w:rsidR="1D84CD92" w:rsidRDefault="1D84CD92" w:rsidP="13C70224">
      <w:pPr>
        <w:pStyle w:val="Paragraphedeliste"/>
        <w:numPr>
          <w:ilvl w:val="0"/>
          <w:numId w:val="21"/>
        </w:numPr>
        <w:spacing w:line="276" w:lineRule="auto"/>
        <w:jc w:val="both"/>
        <w:rPr>
          <w:rFonts w:eastAsia="Arial" w:cs="Arial"/>
        </w:rPr>
      </w:pPr>
      <w:r w:rsidRPr="13C70224">
        <w:rPr>
          <w:rFonts w:eastAsia="Arial" w:cs="Arial"/>
        </w:rPr>
        <w:t>0,70 - 0,89 : Corrélation forte</w:t>
      </w:r>
    </w:p>
    <w:p w14:paraId="348D1ADF" w14:textId="589D89F0" w:rsidR="1D84CD92" w:rsidRDefault="1D84CD92" w:rsidP="13C70224">
      <w:pPr>
        <w:pStyle w:val="Paragraphedeliste"/>
        <w:numPr>
          <w:ilvl w:val="0"/>
          <w:numId w:val="21"/>
        </w:numPr>
        <w:spacing w:line="276" w:lineRule="auto"/>
        <w:jc w:val="both"/>
        <w:rPr>
          <w:rFonts w:eastAsia="Arial" w:cs="Arial"/>
        </w:rPr>
      </w:pPr>
      <w:r w:rsidRPr="13C70224">
        <w:rPr>
          <w:rFonts w:eastAsia="Arial" w:cs="Arial"/>
        </w:rPr>
        <w:t xml:space="preserve">0,90 - 1,00 : Corrélation très forte </w:t>
      </w:r>
    </w:p>
    <w:p w14:paraId="065EC694" w14:textId="6402B13F" w:rsidR="1D84CD92" w:rsidRDefault="2AE6389A" w:rsidP="13C70224">
      <w:pPr>
        <w:spacing w:line="276" w:lineRule="auto"/>
        <w:jc w:val="both"/>
        <w:rPr>
          <w:rFonts w:eastAsia="Arial" w:cs="Arial"/>
        </w:rPr>
      </w:pPr>
      <w:r w:rsidRPr="13C70224">
        <w:rPr>
          <w:rFonts w:eastAsia="Arial" w:cs="Arial"/>
        </w:rPr>
        <w:t>Schober et al. (2018) met en garde contre l'utilisation de tels seuils, en soulignant leur caractère arbitraire. L’interprétation des coefficients de corrélation doit donc se faire avec prudence</w:t>
      </w:r>
      <w:r w:rsidR="0760147E" w:rsidRPr="13C70224">
        <w:rPr>
          <w:rFonts w:eastAsia="Arial" w:cs="Arial"/>
        </w:rPr>
        <w:t xml:space="preserve"> </w:t>
      </w:r>
      <w:r w:rsidR="0760147E" w:rsidRPr="13C70224">
        <w:rPr>
          <w:rFonts w:eastAsia="Arial" w:cs="Arial"/>
          <w:color w:val="000000" w:themeColor="text1"/>
          <w:sz w:val="19"/>
          <w:szCs w:val="19"/>
        </w:rPr>
        <w:t>(effets de seuil)</w:t>
      </w:r>
      <w:r w:rsidRPr="13C70224">
        <w:rPr>
          <w:rFonts w:eastAsia="Arial" w:cs="Arial"/>
        </w:rPr>
        <w:t>.</w:t>
      </w:r>
    </w:p>
    <w:p w14:paraId="4E929D5D" w14:textId="4BB047A6" w:rsidR="4B4934E9" w:rsidRDefault="4B4934E9" w:rsidP="13C70224">
      <w:pPr>
        <w:spacing w:line="276" w:lineRule="auto"/>
        <w:jc w:val="both"/>
        <w:rPr>
          <w:rFonts w:eastAsia="Arial" w:cs="Arial"/>
        </w:rPr>
      </w:pPr>
      <w:r w:rsidRPr="13C70224">
        <w:rPr>
          <w:rFonts w:eastAsia="Arial" w:cs="Arial"/>
        </w:rPr>
        <w:lastRenderedPageBreak/>
        <w:t>Lorsque les séries de mesures comparées sont exprimées dans des unités différentes, seul l’indicateur de précision a été calculé afin d’évaluer la cohérence des données.</w:t>
      </w:r>
    </w:p>
    <w:p w14:paraId="6C1CEC7F" w14:textId="6ED4655F" w:rsidR="31197534" w:rsidRDefault="31197534" w:rsidP="13C70224">
      <w:pPr>
        <w:spacing w:line="276" w:lineRule="auto"/>
        <w:jc w:val="both"/>
        <w:rPr>
          <w:rFonts w:eastAsia="Arial" w:cs="Arial"/>
        </w:rPr>
      </w:pPr>
    </w:p>
    <w:p w14:paraId="60582AEC" w14:textId="1EEA3487" w:rsidR="1D84CD92" w:rsidRDefault="79458CE3" w:rsidP="13C70224">
      <w:pPr>
        <w:pStyle w:val="Titre3"/>
        <w:spacing w:line="276" w:lineRule="auto"/>
        <w:jc w:val="both"/>
        <w:rPr>
          <w:rFonts w:eastAsia="Arial" w:cs="Arial"/>
        </w:rPr>
      </w:pPr>
      <w:r w:rsidRPr="13C70224">
        <w:rPr>
          <w:rFonts w:eastAsia="Arial" w:cs="Arial"/>
        </w:rPr>
        <w:t xml:space="preserve">Degré d’hétérogénéité des paramètres du sol </w:t>
      </w:r>
    </w:p>
    <w:p w14:paraId="754632EB" w14:textId="65C0F5D8" w:rsidR="21FBA17E" w:rsidRDefault="2AE6389A" w:rsidP="13C70224">
      <w:pPr>
        <w:spacing w:after="0" w:line="276" w:lineRule="auto"/>
        <w:jc w:val="both"/>
        <w:rPr>
          <w:rFonts w:eastAsia="Arial" w:cs="Arial"/>
        </w:rPr>
      </w:pPr>
      <w:r w:rsidRPr="13C70224">
        <w:rPr>
          <w:rFonts w:eastAsia="Arial" w:cs="Arial"/>
        </w:rPr>
        <w:t>Étant donné que toute analyse de sol présente une marge d’erreur, il est essentiel de s’assurer que l’hétérogénéité observée pour un paramètre dépasse cette incertitude. Si l’hétérogénéité mesurée est inférieure à la marge d’erreur des laboratoires ou des solutions alors il devient impossible de distinguer une hétérogénéité réelle d’un simple bruit de mesure. Par ailleurs, certains paramètres peuvent être intrinsèquement homogènes, c’est-à-dire ne présenter que peu ou pas d’hétérogénéité à l’échelle spatiale considérée. Dans ce cas, une interprétation approfondie de ces paramètres</w:t>
      </w:r>
      <w:r w:rsidR="7C97669E" w:rsidRPr="13C70224">
        <w:rPr>
          <w:rFonts w:eastAsia="Arial" w:cs="Arial"/>
        </w:rPr>
        <w:t xml:space="preserve"> homogènes</w:t>
      </w:r>
      <w:r w:rsidRPr="13C70224">
        <w:rPr>
          <w:rFonts w:eastAsia="Arial" w:cs="Arial"/>
        </w:rPr>
        <w:t xml:space="preserve"> n’est pas justifiée, car ils ne fournissent pas d’information utile pour la mise en œuvre d’une modulation des interventions agronomiques. La première étape dans l’interprétation d’une carte issue des solutions de cartographie des sols consiste donc à estimer le degré d’hétérogénéité des paramètres étudiés. Pour cela, un coefficient de variation a été calculé et comparé à la marge d’erreur en % fournie par le laboratoire. Lorsque le coefficient de variation dépassait cette marge d’erreur en %, l’hétérogénéité du paramètre était considérée comme significative et a fait l’objet d’une interprétation plus poussée.</w:t>
      </w:r>
      <w:r w:rsidR="50EA2F11" w:rsidRPr="13C70224">
        <w:rPr>
          <w:rFonts w:eastAsia="Arial" w:cs="Arial"/>
        </w:rPr>
        <w:t xml:space="preserve"> Ce travail a été réalisé à l’échelle de l’exploitation et à celle de la parcelle.</w:t>
      </w:r>
    </w:p>
    <w:p w14:paraId="5982EBA4" w14:textId="56191D3C" w:rsidR="21FBA17E" w:rsidRDefault="149BCF03" w:rsidP="13C70224">
      <w:pPr>
        <w:spacing w:line="276" w:lineRule="auto"/>
        <w:jc w:val="both"/>
        <w:rPr>
          <w:rFonts w:eastAsia="Arial" w:cs="Arial"/>
        </w:rPr>
      </w:pPr>
      <w:r w:rsidRPr="13C70224">
        <w:rPr>
          <w:rFonts w:eastAsia="Arial" w:cs="Arial"/>
        </w:rPr>
        <w:t xml:space="preserve">Les laboratoires </w:t>
      </w:r>
      <w:r w:rsidR="6E2312A2" w:rsidRPr="13C70224">
        <w:rPr>
          <w:rFonts w:eastAsia="Arial" w:cs="Arial"/>
        </w:rPr>
        <w:t xml:space="preserve">BW et BDB </w:t>
      </w:r>
      <w:r w:rsidRPr="13C70224">
        <w:rPr>
          <w:rFonts w:eastAsia="Arial" w:cs="Arial"/>
        </w:rPr>
        <w:t>ont été contactés afin d’obtenir les marges d’erreur associées à leurs mesures. En effet, ces marges ne sont généralement pas fournies par défaut dans les rapports d’analyse.</w:t>
      </w:r>
    </w:p>
    <w:p w14:paraId="36DD7BCA" w14:textId="5E0BC384" w:rsidR="1BDD9486" w:rsidRDefault="1BDD9486" w:rsidP="13C70224">
      <w:pPr>
        <w:spacing w:line="276" w:lineRule="auto"/>
        <w:jc w:val="both"/>
        <w:rPr>
          <w:rFonts w:eastAsia="Arial" w:cs="Arial"/>
        </w:rPr>
      </w:pPr>
    </w:p>
    <w:p w14:paraId="215AFFE5" w14:textId="3C6E5293" w:rsidR="44D6FA11" w:rsidRDefault="6DF35025" w:rsidP="13C70224">
      <w:pPr>
        <w:pStyle w:val="Titre2"/>
        <w:spacing w:line="276" w:lineRule="auto"/>
        <w:rPr>
          <w:rFonts w:ascii="Arial" w:eastAsia="Arial" w:hAnsi="Arial" w:cs="Arial"/>
        </w:rPr>
      </w:pPr>
      <w:bookmarkStart w:id="12" w:name="_Toc139120796"/>
      <w:r w:rsidRPr="3BFF6491">
        <w:rPr>
          <w:rFonts w:ascii="Arial" w:eastAsia="Arial" w:hAnsi="Arial" w:cs="Arial"/>
        </w:rPr>
        <w:t>Sujet 1 : Carbone organique et taux d’argile</w:t>
      </w:r>
      <w:bookmarkEnd w:id="12"/>
    </w:p>
    <w:p w14:paraId="0A6E318C" w14:textId="7857C4BA" w:rsidR="3735ACF4" w:rsidRDefault="3735ACF4" w:rsidP="13C70224">
      <w:pPr>
        <w:pStyle w:val="Titre3"/>
        <w:spacing w:line="276" w:lineRule="auto"/>
        <w:jc w:val="both"/>
        <w:rPr>
          <w:rFonts w:eastAsia="Arial" w:cs="Arial"/>
        </w:rPr>
      </w:pPr>
      <w:r w:rsidRPr="13C70224">
        <w:rPr>
          <w:rFonts w:eastAsia="Arial" w:cs="Arial"/>
        </w:rPr>
        <w:t>Performance des capteurs</w:t>
      </w:r>
    </w:p>
    <w:p w14:paraId="35347601" w14:textId="65D1647C" w:rsidR="3735ACF4" w:rsidRDefault="3735ACF4" w:rsidP="13C70224">
      <w:pPr>
        <w:pStyle w:val="Titre4"/>
        <w:spacing w:line="276" w:lineRule="auto"/>
        <w:jc w:val="both"/>
        <w:rPr>
          <w:rFonts w:eastAsia="Arial" w:cs="Arial"/>
        </w:rPr>
      </w:pPr>
      <w:r w:rsidRPr="13C70224">
        <w:rPr>
          <w:rFonts w:eastAsia="Arial" w:cs="Arial"/>
        </w:rPr>
        <w:t>Référence</w:t>
      </w:r>
    </w:p>
    <w:p w14:paraId="72E6DE73" w14:textId="460F78A4" w:rsidR="3735ACF4" w:rsidRDefault="301CA6B2" w:rsidP="13C70224">
      <w:pPr>
        <w:spacing w:line="276" w:lineRule="auto"/>
        <w:jc w:val="both"/>
        <w:rPr>
          <w:rFonts w:eastAsia="Arial" w:cs="Arial"/>
        </w:rPr>
      </w:pPr>
      <w:r w:rsidRPr="13C70224">
        <w:rPr>
          <w:rFonts w:eastAsia="Arial" w:cs="Arial"/>
        </w:rPr>
        <w:t xml:space="preserve">Les marges d’erreur des paramètres étudiés sont présentées dans le </w:t>
      </w:r>
      <w:r w:rsidR="5E9A6DAB" w:rsidRPr="13C70224">
        <w:rPr>
          <w:rFonts w:eastAsia="Arial" w:cs="Arial"/>
        </w:rPr>
        <w:t>tableau 4</w:t>
      </w:r>
      <w:r w:rsidRPr="13C70224">
        <w:rPr>
          <w:rFonts w:eastAsia="Arial" w:cs="Arial"/>
        </w:rPr>
        <w:t>, accompagnées d’une étude sur le degré d’hétérogénéité des mesures de carbone organique et du taux d’argile.</w:t>
      </w:r>
    </w:p>
    <w:p w14:paraId="1C909353" w14:textId="53F1E000" w:rsidR="3735ACF4" w:rsidRDefault="301CA6B2" w:rsidP="13C70224">
      <w:pPr>
        <w:pStyle w:val="Lgende"/>
        <w:keepNext/>
        <w:spacing w:line="276" w:lineRule="auto"/>
        <w:jc w:val="both"/>
        <w:rPr>
          <w:rFonts w:eastAsia="Arial" w:cs="Arial"/>
        </w:rPr>
      </w:pPr>
      <w:r w:rsidRPr="3BFF6491">
        <w:rPr>
          <w:rFonts w:eastAsia="Arial" w:cs="Arial"/>
        </w:rPr>
        <w:t xml:space="preserve">Tableau </w:t>
      </w:r>
      <w:r w:rsidR="3BF74CD9" w:rsidRPr="3BFF6491">
        <w:rPr>
          <w:rFonts w:eastAsia="Arial" w:cs="Arial"/>
        </w:rPr>
        <w:t>4</w:t>
      </w:r>
      <w:r w:rsidRPr="3BFF6491">
        <w:rPr>
          <w:rFonts w:eastAsia="Arial" w:cs="Arial"/>
        </w:rPr>
        <w:t>. Présentation, pour les différentes mesures du % de carbone organique et du taux d’argile fournies par les laboratoires, de la marge d’erreur des analyses et du coefficient de variation des paramètres à l’échelle de l’exploitation. La colonne 'Hétérogénéité' indique si le paramètre est significativement hétérogène au regard de l’erreur d’analyse (c’est-à-dire si le coefficient de variation moyen, diminué de l’écart-type, dépasse le pourcentage d’erreur). L’écart-type a été calculé grâce à l’étape de “</w:t>
      </w:r>
      <w:proofErr w:type="spellStart"/>
      <w:r w:rsidRPr="3BFF6491">
        <w:rPr>
          <w:rFonts w:eastAsia="Arial" w:cs="Arial"/>
        </w:rPr>
        <w:t>bootstrapping</w:t>
      </w:r>
      <w:proofErr w:type="spellEnd"/>
      <w:r w:rsidRPr="3BFF6491">
        <w:rPr>
          <w:rFonts w:eastAsia="Arial" w:cs="Arial"/>
        </w:rPr>
        <w:t>”.</w:t>
      </w:r>
      <w:r w:rsidR="3735ACF4">
        <w:tab/>
      </w:r>
      <w:r w:rsidR="3735ACF4">
        <w:tab/>
      </w:r>
      <w:r w:rsidR="3735ACF4">
        <w:tab/>
      </w:r>
      <w:r w:rsidR="3735ACF4">
        <w:tab/>
      </w:r>
      <w:r w:rsidR="3735ACF4">
        <w:tab/>
      </w:r>
      <w:r w:rsidR="3735ACF4">
        <w:tab/>
      </w:r>
      <w:r w:rsidR="3735ACF4">
        <w:tab/>
      </w:r>
      <w:r w:rsidR="3735ACF4">
        <w:tab/>
      </w:r>
      <w:r w:rsidR="3735ACF4">
        <w:tab/>
      </w:r>
      <w:r w:rsidR="3735ACF4">
        <w:tab/>
      </w:r>
      <w:r w:rsidR="3735ACF4">
        <w:tab/>
      </w:r>
      <w:r w:rsidR="3735ACF4">
        <w:tab/>
      </w:r>
      <w:r w:rsidR="3735ACF4">
        <w:tab/>
      </w:r>
    </w:p>
    <w:tbl>
      <w:tblPr>
        <w:tblW w:w="0" w:type="auto"/>
        <w:jc w:val="center"/>
        <w:tblLook w:val="06A0" w:firstRow="1" w:lastRow="0" w:firstColumn="1" w:lastColumn="0" w:noHBand="1" w:noVBand="1"/>
      </w:tblPr>
      <w:tblGrid>
        <w:gridCol w:w="1320"/>
        <w:gridCol w:w="1485"/>
        <w:gridCol w:w="1020"/>
        <w:gridCol w:w="2505"/>
        <w:gridCol w:w="1380"/>
      </w:tblGrid>
      <w:tr w:rsidR="1BDD9486" w14:paraId="2133FC1C" w14:textId="77777777" w:rsidTr="32E96E3F">
        <w:trPr>
          <w:trHeight w:val="465"/>
          <w:jc w:val="center"/>
        </w:trPr>
        <w:tc>
          <w:tcPr>
            <w:tcW w:w="13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021CCB" w14:textId="5661807D" w:rsidR="1BDD9486" w:rsidRDefault="1BDD9486" w:rsidP="32E96E3F">
            <w:pPr>
              <w:spacing w:after="0" w:line="276" w:lineRule="auto"/>
              <w:jc w:val="both"/>
              <w:rPr>
                <w:rFonts w:eastAsia="Arial" w:cs="Arial"/>
                <w:b/>
                <w:bCs/>
                <w:sz w:val="16"/>
                <w:szCs w:val="16"/>
              </w:rPr>
            </w:pPr>
            <w:r w:rsidRPr="32E96E3F">
              <w:rPr>
                <w:rFonts w:eastAsia="Arial" w:cs="Arial"/>
                <w:b/>
                <w:bCs/>
                <w:sz w:val="16"/>
                <w:szCs w:val="16"/>
              </w:rPr>
              <w:t>Laboratoire</w:t>
            </w: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5EB9AB" w14:textId="3F2E0AE2" w:rsidR="1BDD9486" w:rsidRDefault="1BDD9486" w:rsidP="32E96E3F">
            <w:pPr>
              <w:spacing w:after="0" w:line="276" w:lineRule="auto"/>
              <w:jc w:val="both"/>
              <w:rPr>
                <w:rFonts w:eastAsia="Arial" w:cs="Arial"/>
                <w:b/>
                <w:bCs/>
                <w:sz w:val="16"/>
                <w:szCs w:val="16"/>
              </w:rPr>
            </w:pPr>
            <w:r w:rsidRPr="32E96E3F">
              <w:rPr>
                <w:rFonts w:eastAsia="Arial" w:cs="Arial"/>
                <w:b/>
                <w:bCs/>
                <w:sz w:val="16"/>
                <w:szCs w:val="16"/>
              </w:rPr>
              <w:t>Paramètre</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16B0BD" w14:textId="6F8E832B" w:rsidR="1BDD9486" w:rsidRDefault="1BDD9486" w:rsidP="32E96E3F">
            <w:pPr>
              <w:spacing w:after="0" w:line="276" w:lineRule="auto"/>
              <w:jc w:val="both"/>
              <w:rPr>
                <w:rFonts w:eastAsia="Arial" w:cs="Arial"/>
                <w:b/>
                <w:bCs/>
                <w:sz w:val="16"/>
                <w:szCs w:val="16"/>
              </w:rPr>
            </w:pPr>
            <w:r w:rsidRPr="32E96E3F">
              <w:rPr>
                <w:rFonts w:eastAsia="Arial" w:cs="Arial"/>
                <w:b/>
                <w:bCs/>
                <w:sz w:val="16"/>
                <w:szCs w:val="16"/>
              </w:rPr>
              <w:t>Erreur</w:t>
            </w:r>
          </w:p>
        </w:tc>
        <w:tc>
          <w:tcPr>
            <w:tcW w:w="25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09E51B" w14:textId="33671288" w:rsidR="1BDD9486" w:rsidRDefault="1BDD9486" w:rsidP="32E96E3F">
            <w:pPr>
              <w:spacing w:after="0" w:line="276" w:lineRule="auto"/>
              <w:jc w:val="both"/>
              <w:rPr>
                <w:rFonts w:eastAsia="Arial" w:cs="Arial"/>
                <w:b/>
                <w:bCs/>
                <w:sz w:val="16"/>
                <w:szCs w:val="16"/>
              </w:rPr>
            </w:pPr>
            <w:r w:rsidRPr="32E96E3F">
              <w:rPr>
                <w:rFonts w:eastAsia="Arial" w:cs="Arial"/>
                <w:b/>
                <w:bCs/>
                <w:sz w:val="16"/>
                <w:szCs w:val="16"/>
              </w:rPr>
              <w:t xml:space="preserve">Coefficient de variation </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FCD72B" w14:textId="5AB4CA87" w:rsidR="1BDD9486" w:rsidRDefault="1BDD9486" w:rsidP="32E96E3F">
            <w:pPr>
              <w:spacing w:after="0" w:line="276" w:lineRule="auto"/>
              <w:jc w:val="both"/>
              <w:rPr>
                <w:rFonts w:eastAsia="Arial" w:cs="Arial"/>
                <w:b/>
                <w:bCs/>
                <w:sz w:val="16"/>
                <w:szCs w:val="16"/>
              </w:rPr>
            </w:pPr>
            <w:r w:rsidRPr="32E96E3F">
              <w:rPr>
                <w:rFonts w:eastAsia="Arial" w:cs="Arial"/>
                <w:b/>
                <w:bCs/>
                <w:sz w:val="16"/>
                <w:szCs w:val="16"/>
              </w:rPr>
              <w:t>Hétérogène</w:t>
            </w:r>
          </w:p>
        </w:tc>
      </w:tr>
      <w:tr w:rsidR="1BDD9486" w14:paraId="03FCF895" w14:textId="77777777" w:rsidTr="32E96E3F">
        <w:trPr>
          <w:trHeight w:val="255"/>
          <w:jc w:val="center"/>
        </w:trPr>
        <w:tc>
          <w:tcPr>
            <w:tcW w:w="13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13CDD46" w14:textId="1A68383C" w:rsidR="1BDD9486" w:rsidRDefault="1BDD9486" w:rsidP="32E96E3F">
            <w:pPr>
              <w:spacing w:after="0" w:line="276" w:lineRule="auto"/>
              <w:jc w:val="both"/>
              <w:rPr>
                <w:rFonts w:eastAsia="Arial" w:cs="Arial"/>
                <w:sz w:val="16"/>
                <w:szCs w:val="16"/>
              </w:rPr>
            </w:pPr>
            <w:proofErr w:type="spellStart"/>
            <w:proofErr w:type="gramStart"/>
            <w:r w:rsidRPr="32E96E3F">
              <w:rPr>
                <w:rFonts w:eastAsia="Arial" w:cs="Arial"/>
                <w:sz w:val="16"/>
                <w:szCs w:val="16"/>
              </w:rPr>
              <w:t>bdb</w:t>
            </w:r>
            <w:proofErr w:type="spellEnd"/>
            <w:proofErr w:type="gramEnd"/>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89A7BF" w14:textId="571FD286" w:rsidR="1BDD9486" w:rsidRDefault="1BDD9486" w:rsidP="32E96E3F">
            <w:pPr>
              <w:spacing w:after="0" w:line="276" w:lineRule="auto"/>
              <w:jc w:val="both"/>
              <w:rPr>
                <w:rFonts w:eastAsia="Arial" w:cs="Arial"/>
                <w:sz w:val="16"/>
                <w:szCs w:val="16"/>
              </w:rPr>
            </w:pPr>
            <w:r w:rsidRPr="32E96E3F">
              <w:rPr>
                <w:rFonts w:eastAsia="Arial" w:cs="Arial"/>
                <w:sz w:val="16"/>
                <w:szCs w:val="16"/>
              </w:rPr>
              <w:t>C. organique</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42F1CB" w14:textId="4DF9919B" w:rsidR="1BDD9486" w:rsidRDefault="1BDD9486" w:rsidP="32E96E3F">
            <w:pPr>
              <w:spacing w:after="0" w:line="276" w:lineRule="auto"/>
              <w:jc w:val="both"/>
              <w:rPr>
                <w:rFonts w:eastAsia="Arial" w:cs="Arial"/>
                <w:sz w:val="16"/>
                <w:szCs w:val="16"/>
              </w:rPr>
            </w:pPr>
            <w:r w:rsidRPr="32E96E3F">
              <w:rPr>
                <w:rFonts w:eastAsia="Arial" w:cs="Arial"/>
                <w:sz w:val="16"/>
                <w:szCs w:val="16"/>
              </w:rPr>
              <w:t>17,03 %</w:t>
            </w:r>
          </w:p>
        </w:tc>
        <w:tc>
          <w:tcPr>
            <w:tcW w:w="25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D32DF4" w14:textId="00828A25" w:rsidR="1BDD9486" w:rsidRDefault="1BDD9486" w:rsidP="32E96E3F">
            <w:pPr>
              <w:spacing w:after="0" w:line="276" w:lineRule="auto"/>
              <w:jc w:val="both"/>
              <w:rPr>
                <w:rFonts w:eastAsia="Arial" w:cs="Arial"/>
                <w:sz w:val="16"/>
                <w:szCs w:val="16"/>
              </w:rPr>
            </w:pPr>
            <w:r w:rsidRPr="32E96E3F">
              <w:rPr>
                <w:rFonts w:eastAsia="Arial" w:cs="Arial"/>
                <w:sz w:val="16"/>
                <w:szCs w:val="16"/>
              </w:rPr>
              <w:t>22.66% ± 1</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9A50CF" w14:textId="55420C8B" w:rsidR="1BDD9486" w:rsidRDefault="1BDD9486" w:rsidP="32E96E3F">
            <w:pPr>
              <w:spacing w:after="0" w:line="276" w:lineRule="auto"/>
              <w:jc w:val="both"/>
              <w:rPr>
                <w:rFonts w:eastAsia="Arial" w:cs="Arial"/>
                <w:sz w:val="16"/>
                <w:szCs w:val="16"/>
              </w:rPr>
            </w:pPr>
            <w:proofErr w:type="gramStart"/>
            <w:r w:rsidRPr="32E96E3F">
              <w:rPr>
                <w:rFonts w:eastAsia="Arial" w:cs="Arial"/>
                <w:sz w:val="16"/>
                <w:szCs w:val="16"/>
              </w:rPr>
              <w:t>oui</w:t>
            </w:r>
            <w:proofErr w:type="gramEnd"/>
          </w:p>
        </w:tc>
      </w:tr>
      <w:tr w:rsidR="1BDD9486" w14:paraId="48D72812" w14:textId="77777777" w:rsidTr="32E96E3F">
        <w:trPr>
          <w:trHeight w:val="255"/>
          <w:jc w:val="center"/>
        </w:trPr>
        <w:tc>
          <w:tcPr>
            <w:tcW w:w="13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6801DB" w14:textId="4427E374" w:rsidR="1BDD9486" w:rsidRDefault="1BDD9486" w:rsidP="32E96E3F">
            <w:pPr>
              <w:spacing w:after="0" w:line="276" w:lineRule="auto"/>
              <w:jc w:val="both"/>
              <w:rPr>
                <w:rFonts w:eastAsia="Arial" w:cs="Arial"/>
                <w:sz w:val="16"/>
                <w:szCs w:val="16"/>
              </w:rPr>
            </w:pPr>
            <w:proofErr w:type="spellStart"/>
            <w:proofErr w:type="gramStart"/>
            <w:r w:rsidRPr="32E96E3F">
              <w:rPr>
                <w:rFonts w:eastAsia="Arial" w:cs="Arial"/>
                <w:sz w:val="16"/>
                <w:szCs w:val="16"/>
              </w:rPr>
              <w:t>bw</w:t>
            </w:r>
            <w:proofErr w:type="spellEnd"/>
            <w:proofErr w:type="gramEnd"/>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5C2AF6D" w14:textId="349C60B7" w:rsidR="1BDD9486" w:rsidRDefault="1BDD9486" w:rsidP="32E96E3F">
            <w:pPr>
              <w:spacing w:after="0" w:line="276" w:lineRule="auto"/>
              <w:jc w:val="both"/>
              <w:rPr>
                <w:rFonts w:eastAsia="Arial" w:cs="Arial"/>
                <w:sz w:val="16"/>
                <w:szCs w:val="16"/>
              </w:rPr>
            </w:pPr>
            <w:r w:rsidRPr="32E96E3F">
              <w:rPr>
                <w:rFonts w:eastAsia="Arial" w:cs="Arial"/>
                <w:sz w:val="16"/>
                <w:szCs w:val="16"/>
              </w:rPr>
              <w:t>C. organique</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E33E82" w14:textId="22EEC99A" w:rsidR="1BDD9486" w:rsidRDefault="1BDD9486" w:rsidP="32E96E3F">
            <w:pPr>
              <w:spacing w:after="0" w:line="276" w:lineRule="auto"/>
              <w:jc w:val="both"/>
              <w:rPr>
                <w:rFonts w:eastAsia="Arial" w:cs="Arial"/>
                <w:sz w:val="16"/>
                <w:szCs w:val="16"/>
              </w:rPr>
            </w:pPr>
            <w:r w:rsidRPr="32E96E3F">
              <w:rPr>
                <w:rFonts w:eastAsia="Arial" w:cs="Arial"/>
                <w:sz w:val="16"/>
                <w:szCs w:val="16"/>
              </w:rPr>
              <w:t>22,20 %</w:t>
            </w:r>
          </w:p>
        </w:tc>
        <w:tc>
          <w:tcPr>
            <w:tcW w:w="25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22981A" w14:textId="356FCD5D" w:rsidR="1BDD9486" w:rsidRDefault="1BDD9486" w:rsidP="32E96E3F">
            <w:pPr>
              <w:spacing w:after="0" w:line="276" w:lineRule="auto"/>
              <w:jc w:val="both"/>
              <w:rPr>
                <w:rFonts w:eastAsia="Arial" w:cs="Arial"/>
                <w:sz w:val="16"/>
                <w:szCs w:val="16"/>
              </w:rPr>
            </w:pPr>
            <w:r w:rsidRPr="32E96E3F">
              <w:rPr>
                <w:rFonts w:eastAsia="Arial" w:cs="Arial"/>
                <w:sz w:val="16"/>
                <w:szCs w:val="16"/>
              </w:rPr>
              <w:t>21.03% ± 0.89</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5C34ED6" w14:textId="18A952D6" w:rsidR="1BDD9486" w:rsidRDefault="1BDD9486" w:rsidP="32E96E3F">
            <w:pPr>
              <w:spacing w:after="0" w:line="276" w:lineRule="auto"/>
              <w:jc w:val="both"/>
              <w:rPr>
                <w:rFonts w:eastAsia="Arial" w:cs="Arial"/>
                <w:sz w:val="16"/>
                <w:szCs w:val="16"/>
              </w:rPr>
            </w:pPr>
            <w:proofErr w:type="gramStart"/>
            <w:r w:rsidRPr="32E96E3F">
              <w:rPr>
                <w:rFonts w:eastAsia="Arial" w:cs="Arial"/>
                <w:sz w:val="16"/>
                <w:szCs w:val="16"/>
              </w:rPr>
              <w:t>non</w:t>
            </w:r>
            <w:proofErr w:type="gramEnd"/>
          </w:p>
        </w:tc>
      </w:tr>
      <w:tr w:rsidR="1BDD9486" w14:paraId="6DE1F983" w14:textId="77777777" w:rsidTr="32E96E3F">
        <w:trPr>
          <w:trHeight w:val="300"/>
          <w:jc w:val="center"/>
        </w:trPr>
        <w:tc>
          <w:tcPr>
            <w:tcW w:w="13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21EEAC" w14:textId="2DA8C1DD" w:rsidR="1BDD9486" w:rsidRDefault="1BDD9486" w:rsidP="32E96E3F">
            <w:pPr>
              <w:spacing w:after="0" w:line="276" w:lineRule="auto"/>
              <w:jc w:val="both"/>
              <w:rPr>
                <w:rFonts w:eastAsia="Arial" w:cs="Arial"/>
                <w:sz w:val="16"/>
                <w:szCs w:val="16"/>
              </w:rPr>
            </w:pPr>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9246F0" w14:textId="0372C64B" w:rsidR="1BDD9486" w:rsidRDefault="1BDD9486" w:rsidP="32E96E3F">
            <w:pPr>
              <w:spacing w:after="0" w:line="276" w:lineRule="auto"/>
              <w:jc w:val="both"/>
              <w:rPr>
                <w:rFonts w:eastAsia="Arial" w:cs="Arial"/>
                <w:sz w:val="16"/>
                <w:szCs w:val="16"/>
              </w:rPr>
            </w:pP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DB66B1" w14:textId="78DA720F" w:rsidR="1BDD9486" w:rsidRDefault="1BDD9486" w:rsidP="32E96E3F">
            <w:pPr>
              <w:spacing w:after="0" w:line="276" w:lineRule="auto"/>
              <w:jc w:val="both"/>
              <w:rPr>
                <w:rFonts w:eastAsia="Arial" w:cs="Arial"/>
                <w:sz w:val="16"/>
                <w:szCs w:val="16"/>
              </w:rPr>
            </w:pPr>
          </w:p>
        </w:tc>
        <w:tc>
          <w:tcPr>
            <w:tcW w:w="25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D51BD2" w14:textId="497AC653" w:rsidR="1BDD9486" w:rsidRDefault="1BDD9486" w:rsidP="32E96E3F">
            <w:pPr>
              <w:spacing w:after="0" w:line="276" w:lineRule="auto"/>
              <w:jc w:val="both"/>
              <w:rPr>
                <w:rFonts w:eastAsia="Arial" w:cs="Arial"/>
                <w:sz w:val="16"/>
                <w:szCs w:val="16"/>
              </w:rPr>
            </w:pP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DEC6BFE" w14:textId="34DB2B7F" w:rsidR="1BDD9486" w:rsidRDefault="1BDD9486" w:rsidP="32E96E3F">
            <w:pPr>
              <w:spacing w:after="0" w:line="276" w:lineRule="auto"/>
              <w:jc w:val="both"/>
              <w:rPr>
                <w:rFonts w:eastAsia="Arial" w:cs="Arial"/>
                <w:sz w:val="16"/>
                <w:szCs w:val="16"/>
              </w:rPr>
            </w:pPr>
          </w:p>
        </w:tc>
      </w:tr>
      <w:tr w:rsidR="1BDD9486" w14:paraId="49F948BE" w14:textId="77777777" w:rsidTr="32E96E3F">
        <w:trPr>
          <w:trHeight w:val="255"/>
          <w:jc w:val="center"/>
        </w:trPr>
        <w:tc>
          <w:tcPr>
            <w:tcW w:w="13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222E4A" w14:textId="6DCBA54E" w:rsidR="1BDD9486" w:rsidRDefault="1BDD9486" w:rsidP="32E96E3F">
            <w:pPr>
              <w:spacing w:after="0" w:line="276" w:lineRule="auto"/>
              <w:jc w:val="both"/>
              <w:rPr>
                <w:rFonts w:eastAsia="Arial" w:cs="Arial"/>
                <w:sz w:val="16"/>
                <w:szCs w:val="16"/>
              </w:rPr>
            </w:pPr>
            <w:proofErr w:type="spellStart"/>
            <w:proofErr w:type="gramStart"/>
            <w:r w:rsidRPr="32E96E3F">
              <w:rPr>
                <w:rFonts w:eastAsia="Arial" w:cs="Arial"/>
                <w:sz w:val="16"/>
                <w:szCs w:val="16"/>
              </w:rPr>
              <w:t>bw</w:t>
            </w:r>
            <w:proofErr w:type="spellEnd"/>
            <w:proofErr w:type="gramEnd"/>
          </w:p>
        </w:tc>
        <w:tc>
          <w:tcPr>
            <w:tcW w:w="14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406744" w14:textId="6F956F2B" w:rsidR="1BDD9486" w:rsidRDefault="1BDD9486" w:rsidP="32E96E3F">
            <w:pPr>
              <w:spacing w:after="0" w:line="276" w:lineRule="auto"/>
              <w:jc w:val="both"/>
              <w:rPr>
                <w:rFonts w:eastAsia="Arial" w:cs="Arial"/>
                <w:sz w:val="16"/>
                <w:szCs w:val="16"/>
              </w:rPr>
            </w:pPr>
            <w:r w:rsidRPr="32E96E3F">
              <w:rPr>
                <w:rFonts w:eastAsia="Arial" w:cs="Arial"/>
                <w:sz w:val="16"/>
                <w:szCs w:val="16"/>
              </w:rPr>
              <w:t>Taux d’argile</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F44403" w14:textId="0C03A9D8" w:rsidR="1BDD9486" w:rsidRDefault="1BDD9486" w:rsidP="32E96E3F">
            <w:pPr>
              <w:spacing w:after="0" w:line="276" w:lineRule="auto"/>
              <w:jc w:val="both"/>
              <w:rPr>
                <w:rFonts w:eastAsia="Arial" w:cs="Arial"/>
                <w:sz w:val="16"/>
                <w:szCs w:val="16"/>
              </w:rPr>
            </w:pPr>
            <w:r w:rsidRPr="32E96E3F">
              <w:rPr>
                <w:rFonts w:eastAsia="Arial" w:cs="Arial"/>
                <w:sz w:val="16"/>
                <w:szCs w:val="16"/>
              </w:rPr>
              <w:t>13,10 %</w:t>
            </w:r>
          </w:p>
        </w:tc>
        <w:tc>
          <w:tcPr>
            <w:tcW w:w="25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C1AB3D" w14:textId="584B6372" w:rsidR="1BDD9486" w:rsidRDefault="1BDD9486" w:rsidP="32E96E3F">
            <w:pPr>
              <w:spacing w:after="0" w:line="276" w:lineRule="auto"/>
              <w:jc w:val="both"/>
              <w:rPr>
                <w:rFonts w:eastAsia="Arial" w:cs="Arial"/>
                <w:sz w:val="16"/>
                <w:szCs w:val="16"/>
              </w:rPr>
            </w:pPr>
            <w:r w:rsidRPr="32E96E3F">
              <w:rPr>
                <w:rFonts w:eastAsia="Arial" w:cs="Arial"/>
                <w:sz w:val="16"/>
                <w:szCs w:val="16"/>
              </w:rPr>
              <w:t>18.64% ± 0.54</w:t>
            </w:r>
          </w:p>
        </w:tc>
        <w:tc>
          <w:tcPr>
            <w:tcW w:w="13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C26DCBB" w14:textId="7A231254" w:rsidR="1BDD9486" w:rsidRDefault="1BDD9486" w:rsidP="32E96E3F">
            <w:pPr>
              <w:spacing w:after="0" w:line="276" w:lineRule="auto"/>
              <w:jc w:val="both"/>
              <w:rPr>
                <w:rFonts w:eastAsia="Arial" w:cs="Arial"/>
                <w:sz w:val="16"/>
                <w:szCs w:val="16"/>
              </w:rPr>
            </w:pPr>
            <w:proofErr w:type="gramStart"/>
            <w:r w:rsidRPr="32E96E3F">
              <w:rPr>
                <w:rFonts w:eastAsia="Arial" w:cs="Arial"/>
                <w:sz w:val="16"/>
                <w:szCs w:val="16"/>
              </w:rPr>
              <w:t>oui</w:t>
            </w:r>
            <w:proofErr w:type="gramEnd"/>
          </w:p>
        </w:tc>
      </w:tr>
    </w:tbl>
    <w:p w14:paraId="7136C92C" w14:textId="110FAE40" w:rsidR="1BDD9486" w:rsidRDefault="1BDD9486" w:rsidP="13C70224">
      <w:pPr>
        <w:spacing w:line="276" w:lineRule="auto"/>
        <w:jc w:val="both"/>
        <w:rPr>
          <w:rFonts w:eastAsia="Arial" w:cs="Arial"/>
        </w:rPr>
      </w:pPr>
    </w:p>
    <w:p w14:paraId="36941258" w14:textId="35F9EF88" w:rsidR="3735ACF4" w:rsidRDefault="3735ACF4" w:rsidP="13C70224">
      <w:pPr>
        <w:spacing w:line="276" w:lineRule="auto"/>
        <w:jc w:val="both"/>
        <w:rPr>
          <w:rFonts w:eastAsia="Arial" w:cs="Arial"/>
        </w:rPr>
      </w:pPr>
      <w:r w:rsidRPr="13C70224">
        <w:rPr>
          <w:rFonts w:eastAsia="Arial" w:cs="Arial"/>
        </w:rPr>
        <w:t>Le carbone organique mesuré par le laboratoire BDB présentait des variations suffisamment importantes, au regard de l’erreur de mesure, pour être utilisé et interprété dans les comparaisons avec les solutions de cartographie des sols. En revanche, pour le laboratoire BW, l’erreur de mesure, légèrement plus élevée, dépassait le coefficient de variation observé, limitant ainsi la capacité à détecter de manière fiable les variations réelles du carbone organique. Il semble donc que ce paramètre se situe à la limite du seuil d’hétérogénéité nécessaire pour pouvoir être interprété.</w:t>
      </w:r>
    </w:p>
    <w:p w14:paraId="3A2600AC" w14:textId="6C15F4AE" w:rsidR="3735ACF4" w:rsidRDefault="3735ACF4" w:rsidP="13C70224">
      <w:pPr>
        <w:spacing w:line="276" w:lineRule="auto"/>
        <w:jc w:val="both"/>
        <w:rPr>
          <w:rFonts w:eastAsia="Arial" w:cs="Arial"/>
        </w:rPr>
      </w:pPr>
      <w:r w:rsidRPr="13C70224">
        <w:rPr>
          <w:rFonts w:eastAsia="Arial" w:cs="Arial"/>
        </w:rPr>
        <w:lastRenderedPageBreak/>
        <w:t>Concernant le taux d’argile, l’erreur de mesure était, cette fois, inférieure au coefficient de variation, ce qui indique que la variabilité mesurée est considérée comme suffisamment importante pour être interprétable.</w:t>
      </w:r>
    </w:p>
    <w:p w14:paraId="0F6DDE69" w14:textId="758E1048" w:rsidR="1BDD9486" w:rsidRDefault="1BDD9486" w:rsidP="3BFF6491">
      <w:pPr>
        <w:spacing w:line="276" w:lineRule="auto"/>
        <w:jc w:val="both"/>
        <w:rPr>
          <w:rFonts w:eastAsia="Arial" w:cs="Arial"/>
        </w:rPr>
      </w:pPr>
    </w:p>
    <w:p w14:paraId="7F28E94C" w14:textId="76B2B281" w:rsidR="3735ACF4" w:rsidRDefault="3735ACF4" w:rsidP="13C70224">
      <w:pPr>
        <w:pStyle w:val="Titre4"/>
        <w:spacing w:line="276" w:lineRule="auto"/>
        <w:jc w:val="both"/>
        <w:rPr>
          <w:rFonts w:eastAsia="Arial" w:cs="Arial"/>
        </w:rPr>
      </w:pPr>
      <w:r w:rsidRPr="13C70224">
        <w:rPr>
          <w:rFonts w:eastAsia="Arial" w:cs="Arial"/>
        </w:rPr>
        <w:t>Veris MSP3</w:t>
      </w:r>
    </w:p>
    <w:p w14:paraId="6CFE5CE4" w14:textId="6DE5A0E3" w:rsidR="3735ACF4" w:rsidRDefault="301CA6B2" w:rsidP="13C70224">
      <w:pPr>
        <w:keepNext/>
        <w:spacing w:before="240" w:after="240" w:line="276" w:lineRule="auto"/>
        <w:jc w:val="both"/>
        <w:rPr>
          <w:rFonts w:eastAsia="Arial" w:cs="Arial"/>
        </w:rPr>
      </w:pPr>
      <w:r w:rsidRPr="13C70224">
        <w:rPr>
          <w:rFonts w:eastAsia="Arial" w:cs="Arial"/>
        </w:rPr>
        <w:t>Le % de carbone organique et la conductivité électrique du sol est mesuré entre 252.9 et 593.0 fois par hectare (</w:t>
      </w:r>
      <w:r w:rsidR="78E4FDB7" w:rsidRPr="13C70224">
        <w:rPr>
          <w:rFonts w:eastAsia="Arial" w:cs="Arial"/>
        </w:rPr>
        <w:t>figure 14</w:t>
      </w:r>
      <w:r w:rsidRPr="13C70224">
        <w:rPr>
          <w:rFonts w:eastAsia="Arial" w:cs="Arial"/>
        </w:rPr>
        <w:t xml:space="preserve">), en fonction de la vitesse d’avancement du véhicule utilisé pour la cartographie. </w:t>
      </w:r>
    </w:p>
    <w:p w14:paraId="1F423A86" w14:textId="7FFED9EA" w:rsidR="3735ACF4" w:rsidRDefault="3735ACF4" w:rsidP="13C70224">
      <w:pPr>
        <w:keepNext/>
        <w:spacing w:line="276" w:lineRule="auto"/>
        <w:jc w:val="both"/>
        <w:rPr>
          <w:rFonts w:eastAsia="Arial" w:cs="Arial"/>
        </w:rPr>
      </w:pPr>
      <w:r>
        <w:rPr>
          <w:noProof/>
        </w:rPr>
        <w:drawing>
          <wp:inline distT="0" distB="0" distL="0" distR="0" wp14:anchorId="3543465C" wp14:editId="33DD86BC">
            <wp:extent cx="5724525" cy="5648325"/>
            <wp:effectExtent l="0" t="0" r="9525" b="9525"/>
            <wp:docPr id="118158392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536849" name=""/>
                    <pic:cNvPicPr/>
                  </pic:nvPicPr>
                  <pic:blipFill>
                    <a:blip r:embed="rId27" cstate="screen">
                      <a:extLst>
                        <a:ext uri="{28A0092B-C50C-407E-A947-70E740481C1C}">
                          <a14:useLocalDpi xmlns:a14="http://schemas.microsoft.com/office/drawing/2010/main"/>
                        </a:ext>
                      </a:extLst>
                    </a:blip>
                    <a:stretch>
                      <a:fillRect/>
                    </a:stretch>
                  </pic:blipFill>
                  <pic:spPr>
                    <a:xfrm>
                      <a:off x="0" y="0"/>
                      <a:ext cx="5724525" cy="5648325"/>
                    </a:xfrm>
                    <a:prstGeom prst="rect">
                      <a:avLst/>
                    </a:prstGeom>
                  </pic:spPr>
                </pic:pic>
              </a:graphicData>
            </a:graphic>
          </wp:inline>
        </w:drawing>
      </w:r>
    </w:p>
    <w:p w14:paraId="1C8F1030" w14:textId="4BB0307D" w:rsidR="3735ACF4" w:rsidRDefault="301CA6B2" w:rsidP="13C70224">
      <w:pPr>
        <w:pStyle w:val="Lgende"/>
        <w:spacing w:line="276" w:lineRule="auto"/>
        <w:jc w:val="both"/>
        <w:rPr>
          <w:rFonts w:eastAsia="Arial" w:cs="Arial"/>
        </w:rPr>
      </w:pPr>
      <w:r w:rsidRPr="3BFF6491">
        <w:rPr>
          <w:rFonts w:eastAsia="Arial" w:cs="Arial"/>
        </w:rPr>
        <w:t xml:space="preserve">Figure </w:t>
      </w:r>
      <w:r w:rsidR="17B6AA6A" w:rsidRPr="3BFF6491">
        <w:rPr>
          <w:rFonts w:eastAsia="Arial" w:cs="Arial"/>
        </w:rPr>
        <w:t>14</w:t>
      </w:r>
      <w:r w:rsidRPr="3BFF6491">
        <w:rPr>
          <w:rFonts w:eastAsia="Arial" w:cs="Arial"/>
        </w:rPr>
        <w:t xml:space="preserve">. Carte des points d’enregistrement analysés en direct par la solution Veris MSP3 sur la parcelle </w:t>
      </w:r>
      <w:proofErr w:type="spellStart"/>
      <w:r w:rsidRPr="3BFF6491">
        <w:rPr>
          <w:rFonts w:eastAsia="Arial" w:cs="Arial"/>
        </w:rPr>
        <w:t>Nosipont</w:t>
      </w:r>
      <w:proofErr w:type="spellEnd"/>
      <w:r w:rsidRPr="3BFF6491">
        <w:rPr>
          <w:rFonts w:eastAsia="Arial" w:cs="Arial"/>
        </w:rPr>
        <w:t>. 341.2 points par hectare ont été prélevés sur cette parcelles. Une maille de 100 m × 100 m (soit 1 ha) est représentée sur la carte.</w:t>
      </w:r>
    </w:p>
    <w:p w14:paraId="0B7981EA" w14:textId="2CE25EDC" w:rsidR="3735ACF4" w:rsidRDefault="3735ACF4" w:rsidP="13C70224">
      <w:pPr>
        <w:spacing w:line="276" w:lineRule="auto"/>
        <w:jc w:val="both"/>
        <w:rPr>
          <w:rFonts w:eastAsia="Arial" w:cs="Arial"/>
        </w:rPr>
      </w:pPr>
      <w:r w:rsidRPr="13C70224">
        <w:rPr>
          <w:rFonts w:eastAsia="Arial" w:cs="Arial"/>
        </w:rPr>
        <w:t>Les données issues du capteur Veris MSP3 ont été calibrées à l’aide d’analyses de sol réalisées par le laboratoire BDB. En moyenne, sur un échantillon de six parcelles, 0,82 point d’analyse par hectare (médiane = 0,47) a été échantillonné pour étalonner la solution, avec un minimum de quatre points d’analyse par parcelle. Tous les rapports d’analyses utilisés pour cette calibration sont transmis au client de la solution.</w:t>
      </w:r>
    </w:p>
    <w:p w14:paraId="0D11FC04" w14:textId="31CE6086" w:rsidR="1BDD9486" w:rsidRDefault="1BDD9486" w:rsidP="13C70224">
      <w:pPr>
        <w:spacing w:line="276" w:lineRule="auto"/>
        <w:jc w:val="both"/>
        <w:rPr>
          <w:rFonts w:eastAsia="Arial" w:cs="Arial"/>
        </w:rPr>
      </w:pPr>
    </w:p>
    <w:p w14:paraId="5B7A36DC" w14:textId="358392B0" w:rsidR="3735ACF4" w:rsidRDefault="3735ACF4" w:rsidP="13C70224">
      <w:pPr>
        <w:pStyle w:val="Titre4"/>
        <w:spacing w:line="276" w:lineRule="auto"/>
        <w:jc w:val="both"/>
        <w:rPr>
          <w:rFonts w:eastAsia="Arial" w:cs="Arial"/>
        </w:rPr>
      </w:pPr>
      <w:r w:rsidRPr="13C70224">
        <w:rPr>
          <w:rFonts w:eastAsia="Arial" w:cs="Arial"/>
        </w:rPr>
        <w:t>InterraScan</w:t>
      </w:r>
    </w:p>
    <w:p w14:paraId="3A416983" w14:textId="30CC81AB" w:rsidR="3735ACF4" w:rsidRDefault="301CA6B2" w:rsidP="13C70224">
      <w:pPr>
        <w:spacing w:line="276" w:lineRule="auto"/>
        <w:jc w:val="both"/>
        <w:rPr>
          <w:rFonts w:eastAsia="Arial" w:cs="Arial"/>
        </w:rPr>
      </w:pPr>
      <w:r w:rsidRPr="13C70224">
        <w:rPr>
          <w:rFonts w:eastAsia="Arial" w:cs="Arial"/>
        </w:rPr>
        <w:t>Il a été observé que la radioactivité du sol est mesurée entre 796 et 853 fois par hectare (</w:t>
      </w:r>
      <w:r w:rsidR="2F62FA6F" w:rsidRPr="13C70224">
        <w:rPr>
          <w:rFonts w:eastAsia="Arial" w:cs="Arial"/>
        </w:rPr>
        <w:t>figure 15</w:t>
      </w:r>
      <w:r w:rsidRPr="13C70224">
        <w:rPr>
          <w:rFonts w:eastAsia="Arial" w:cs="Arial"/>
        </w:rPr>
        <w:t xml:space="preserve">), en fonction de la vitesse d’avancement du véhicule utilisé pour la cartographie. </w:t>
      </w:r>
    </w:p>
    <w:p w14:paraId="12F992B1" w14:textId="5C44BF9E" w:rsidR="1BDD9486" w:rsidRDefault="1BDD9486" w:rsidP="13C70224">
      <w:pPr>
        <w:spacing w:line="276" w:lineRule="auto"/>
        <w:jc w:val="both"/>
        <w:rPr>
          <w:rFonts w:eastAsia="Arial" w:cs="Arial"/>
        </w:rPr>
      </w:pPr>
    </w:p>
    <w:p w14:paraId="62E1B7CB" w14:textId="77777777" w:rsidR="3735ACF4" w:rsidRDefault="3735ACF4" w:rsidP="13C70224">
      <w:pPr>
        <w:keepNext/>
        <w:spacing w:line="276" w:lineRule="auto"/>
        <w:jc w:val="both"/>
        <w:rPr>
          <w:rFonts w:eastAsia="Arial" w:cs="Arial"/>
        </w:rPr>
      </w:pPr>
      <w:r>
        <w:rPr>
          <w:noProof/>
        </w:rPr>
        <w:drawing>
          <wp:inline distT="0" distB="0" distL="0" distR="0" wp14:anchorId="5FF6048F" wp14:editId="5486ACCB">
            <wp:extent cx="5248275" cy="4121773"/>
            <wp:effectExtent l="0" t="0" r="0" b="0"/>
            <wp:docPr id="65324095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19071" name=""/>
                    <pic:cNvPicPr/>
                  </pic:nvPicPr>
                  <pic:blipFill>
                    <a:blip r:embed="rId28" cstate="screen">
                      <a:extLst>
                        <a:ext uri="{28A0092B-C50C-407E-A947-70E740481C1C}">
                          <a14:useLocalDpi xmlns:a14="http://schemas.microsoft.com/office/drawing/2010/main"/>
                        </a:ext>
                      </a:extLst>
                    </a:blip>
                    <a:stretch>
                      <a:fillRect/>
                    </a:stretch>
                  </pic:blipFill>
                  <pic:spPr>
                    <a:xfrm>
                      <a:off x="0" y="0"/>
                      <a:ext cx="5248275" cy="4121773"/>
                    </a:xfrm>
                    <a:prstGeom prst="rect">
                      <a:avLst/>
                    </a:prstGeom>
                  </pic:spPr>
                </pic:pic>
              </a:graphicData>
            </a:graphic>
          </wp:inline>
        </w:drawing>
      </w:r>
    </w:p>
    <w:p w14:paraId="78AC80B6" w14:textId="4EFEBE72" w:rsidR="3735ACF4" w:rsidRDefault="301CA6B2" w:rsidP="13C70224">
      <w:pPr>
        <w:pStyle w:val="Lgende"/>
        <w:spacing w:line="276" w:lineRule="auto"/>
        <w:jc w:val="both"/>
        <w:rPr>
          <w:rFonts w:eastAsia="Arial" w:cs="Arial"/>
        </w:rPr>
      </w:pPr>
      <w:r w:rsidRPr="3BFF6491">
        <w:rPr>
          <w:rFonts w:eastAsia="Arial" w:cs="Arial"/>
        </w:rPr>
        <w:t xml:space="preserve">Figure </w:t>
      </w:r>
      <w:r w:rsidR="033C339F" w:rsidRPr="3BFF6491">
        <w:rPr>
          <w:rFonts w:eastAsia="Arial" w:cs="Arial"/>
        </w:rPr>
        <w:t>15</w:t>
      </w:r>
      <w:r w:rsidRPr="3BFF6491">
        <w:rPr>
          <w:rFonts w:eastAsia="Arial" w:cs="Arial"/>
        </w:rPr>
        <w:t>.  Carte des points d'enregistrement (en orange), analysés en direct par la solution InterraScan sur la parcelle Paradis. 826 points par hectare ont été prélevés sur cette parcelles. Une maille de 100 m × 100 m (soit 1 ha) est représentée sur la carte.</w:t>
      </w:r>
    </w:p>
    <w:p w14:paraId="7AF62285" w14:textId="37F2510D" w:rsidR="1BDD9486" w:rsidRDefault="1BDD9486" w:rsidP="13C70224">
      <w:pPr>
        <w:spacing w:line="276" w:lineRule="auto"/>
        <w:jc w:val="both"/>
        <w:rPr>
          <w:rFonts w:eastAsia="Arial" w:cs="Arial"/>
        </w:rPr>
      </w:pPr>
    </w:p>
    <w:p w14:paraId="1BD0F17A" w14:textId="13BC7ABA" w:rsidR="3735ACF4" w:rsidRDefault="3735ACF4" w:rsidP="13C70224">
      <w:pPr>
        <w:spacing w:line="276" w:lineRule="auto"/>
        <w:jc w:val="both"/>
        <w:rPr>
          <w:rFonts w:eastAsia="Arial" w:cs="Arial"/>
        </w:rPr>
      </w:pPr>
      <w:r w:rsidRPr="13C70224">
        <w:rPr>
          <w:rFonts w:eastAsia="Arial" w:cs="Arial"/>
        </w:rPr>
        <w:t xml:space="preserve">Les données issues de la solution InterraScan ont été calibrées à l’aide d’analyses de sol réalisées par le laboratoire d’analyse </w:t>
      </w:r>
      <w:proofErr w:type="spellStart"/>
      <w:r w:rsidRPr="13C70224">
        <w:rPr>
          <w:rFonts w:eastAsia="Arial" w:cs="Arial"/>
        </w:rPr>
        <w:t>Inagro</w:t>
      </w:r>
      <w:proofErr w:type="spellEnd"/>
      <w:r w:rsidRPr="13C70224">
        <w:rPr>
          <w:rFonts w:eastAsia="Arial" w:cs="Arial"/>
        </w:rPr>
        <w:t>. Les résultats de ces analyses ne sont pas fournis par défaut aux clients de la solution. En moyenne, sur un échantillon de quatre parcelles, 0,46 point d’analyse par hectare (médiane = 0,47) a été échantillonné pour étalonner la solution, avec un minimum de quatre points d’analyse par parcelle.</w:t>
      </w:r>
    </w:p>
    <w:p w14:paraId="142330A4" w14:textId="30B4504F" w:rsidR="1BDD9486" w:rsidRDefault="1BDD9486" w:rsidP="13C70224">
      <w:pPr>
        <w:spacing w:line="276" w:lineRule="auto"/>
        <w:jc w:val="both"/>
        <w:rPr>
          <w:rFonts w:eastAsia="Arial" w:cs="Arial"/>
        </w:rPr>
      </w:pPr>
    </w:p>
    <w:p w14:paraId="632831B2" w14:textId="3BCE8C1B" w:rsidR="3735ACF4" w:rsidRDefault="3735ACF4" w:rsidP="13C70224">
      <w:pPr>
        <w:pStyle w:val="Titre3"/>
        <w:spacing w:line="276" w:lineRule="auto"/>
        <w:jc w:val="both"/>
        <w:rPr>
          <w:rFonts w:eastAsia="Arial" w:cs="Arial"/>
        </w:rPr>
      </w:pPr>
      <w:r w:rsidRPr="13C70224">
        <w:rPr>
          <w:rFonts w:eastAsia="Arial" w:cs="Arial"/>
        </w:rPr>
        <w:t>Validation des données produites</w:t>
      </w:r>
    </w:p>
    <w:p w14:paraId="1220642C" w14:textId="61F41BE8" w:rsidR="3735ACF4" w:rsidRDefault="3735ACF4" w:rsidP="13C70224">
      <w:pPr>
        <w:pStyle w:val="Titre4"/>
        <w:spacing w:line="276" w:lineRule="auto"/>
        <w:jc w:val="both"/>
        <w:rPr>
          <w:rFonts w:eastAsia="Arial" w:cs="Arial"/>
        </w:rPr>
      </w:pPr>
      <w:r w:rsidRPr="13C70224">
        <w:rPr>
          <w:rFonts w:eastAsia="Arial" w:cs="Arial"/>
        </w:rPr>
        <w:t>Référence</w:t>
      </w:r>
    </w:p>
    <w:p w14:paraId="5ACCC83A" w14:textId="725D3D14" w:rsidR="3735ACF4" w:rsidRDefault="3735ACF4" w:rsidP="13C70224">
      <w:pPr>
        <w:spacing w:line="276" w:lineRule="auto"/>
        <w:jc w:val="both"/>
        <w:rPr>
          <w:rFonts w:eastAsia="Arial" w:cs="Arial"/>
        </w:rPr>
      </w:pPr>
      <w:r w:rsidRPr="13C70224">
        <w:rPr>
          <w:rFonts w:eastAsia="Arial" w:cs="Arial"/>
        </w:rPr>
        <w:t>La variabilité des résultats, tant inter‑laboratoire qu’intra‑laboratoire, n’a pu être évaluée que pour le carbone organique. En effet, les analyses de texture n’ont pas fait l’objet de réplications.</w:t>
      </w:r>
    </w:p>
    <w:p w14:paraId="40C95ED8" w14:textId="7C6AB0BE" w:rsidR="3735ACF4" w:rsidRDefault="3735ACF4" w:rsidP="13C70224">
      <w:pPr>
        <w:pStyle w:val="Titre5"/>
        <w:spacing w:line="276" w:lineRule="auto"/>
        <w:jc w:val="both"/>
        <w:rPr>
          <w:rFonts w:eastAsia="Arial" w:cs="Arial"/>
          <w:color w:val="auto"/>
        </w:rPr>
      </w:pPr>
      <w:r w:rsidRPr="13C70224">
        <w:rPr>
          <w:rFonts w:eastAsia="Arial" w:cs="Arial"/>
        </w:rPr>
        <w:lastRenderedPageBreak/>
        <w:t>Variabilité des résultats inter-laboratoire</w:t>
      </w:r>
    </w:p>
    <w:p w14:paraId="0C8391F0" w14:textId="4D965236" w:rsidR="3735ACF4" w:rsidRDefault="301CA6B2" w:rsidP="13C70224">
      <w:pPr>
        <w:spacing w:line="276" w:lineRule="auto"/>
        <w:jc w:val="both"/>
        <w:rPr>
          <w:rFonts w:eastAsia="Arial" w:cs="Arial"/>
        </w:rPr>
      </w:pPr>
      <w:r w:rsidRPr="13C70224">
        <w:rPr>
          <w:rFonts w:eastAsia="Arial" w:cs="Arial"/>
        </w:rPr>
        <w:t xml:space="preserve">Les mesures du % de carbone organique produites par les deux laboratoires sont comparées dans la </w:t>
      </w:r>
      <w:r w:rsidR="7E973D14" w:rsidRPr="13C70224">
        <w:rPr>
          <w:rFonts w:eastAsia="Arial" w:cs="Arial"/>
        </w:rPr>
        <w:t>figure 16</w:t>
      </w:r>
      <w:r w:rsidRPr="13C70224">
        <w:rPr>
          <w:rFonts w:eastAsia="Arial" w:cs="Arial"/>
        </w:rPr>
        <w:t>.</w:t>
      </w:r>
    </w:p>
    <w:p w14:paraId="70463745" w14:textId="4625FE89" w:rsidR="3735ACF4" w:rsidRDefault="3735ACF4" w:rsidP="0FF8C3A4">
      <w:pPr>
        <w:keepNext/>
        <w:spacing w:line="276" w:lineRule="auto"/>
        <w:jc w:val="center"/>
        <w:rPr>
          <w:rFonts w:eastAsia="Arial" w:cs="Arial"/>
        </w:rPr>
      </w:pPr>
      <w:r>
        <w:rPr>
          <w:noProof/>
        </w:rPr>
        <w:drawing>
          <wp:inline distT="0" distB="0" distL="0" distR="0" wp14:anchorId="30EA98DB" wp14:editId="04BE4A13">
            <wp:extent cx="4282862" cy="4680000"/>
            <wp:effectExtent l="0" t="0" r="3810" b="6350"/>
            <wp:docPr id="2313698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660406" name=""/>
                    <pic:cNvPicPr/>
                  </pic:nvPicPr>
                  <pic:blipFill>
                    <a:blip r:embed="rId29"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635C5716" w14:textId="6FA91E4B" w:rsidR="3735ACF4" w:rsidRDefault="301CA6B2" w:rsidP="13C70224">
      <w:pPr>
        <w:pStyle w:val="Lgende"/>
        <w:spacing w:line="276" w:lineRule="auto"/>
        <w:jc w:val="both"/>
        <w:rPr>
          <w:rFonts w:eastAsia="Arial" w:cs="Arial"/>
        </w:rPr>
      </w:pPr>
      <w:r w:rsidRPr="3BFF6491">
        <w:rPr>
          <w:rFonts w:eastAsia="Arial" w:cs="Arial"/>
        </w:rPr>
        <w:t xml:space="preserve">Figure </w:t>
      </w:r>
      <w:r w:rsidR="4956740C" w:rsidRPr="3BFF6491">
        <w:rPr>
          <w:rFonts w:eastAsia="Arial" w:cs="Arial"/>
        </w:rPr>
        <w:t>16</w:t>
      </w:r>
      <w:r w:rsidRPr="3BFF6491">
        <w:rPr>
          <w:rFonts w:eastAsia="Arial" w:cs="Arial"/>
        </w:rPr>
        <w:t xml:space="preserve">. Comparaison des mesures du % de carbone organiques obtenues par les deux laboratoires. Le coefficient de concordance de Lin (CC Lin), ainsi que les indicateurs d’exactitude et de précision, sont indiqués sur la figure. Chaque point correspond à une analyse de sol. Les points plus foncés représentent un 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p w14:paraId="71B3ACED" w14:textId="78FF028F" w:rsidR="1BDD9486" w:rsidRDefault="1BDD9486" w:rsidP="13C70224">
      <w:pPr>
        <w:spacing w:line="276" w:lineRule="auto"/>
        <w:jc w:val="both"/>
        <w:rPr>
          <w:rFonts w:eastAsia="Arial" w:cs="Arial"/>
        </w:rPr>
      </w:pPr>
    </w:p>
    <w:p w14:paraId="229B8D58" w14:textId="3C79B87E" w:rsidR="3735ACF4" w:rsidRDefault="3735ACF4" w:rsidP="13C70224">
      <w:pPr>
        <w:spacing w:line="276" w:lineRule="auto"/>
        <w:jc w:val="both"/>
        <w:rPr>
          <w:rFonts w:eastAsia="Arial" w:cs="Arial"/>
        </w:rPr>
      </w:pPr>
      <w:r w:rsidRPr="13C70224">
        <w:rPr>
          <w:rFonts w:eastAsia="Arial" w:cs="Arial"/>
        </w:rPr>
        <w:t>La corrélation des résultats entre laboratoires pour le % de carbone organique était forte (précision = 0,78) avec un taux d’exactitude élevé (exactitude = 0.92). Ce résultat indique que la référence utilisée pour l’estimation du % de carbone organique est fiable à l’échelle de l’exploitation.</w:t>
      </w:r>
    </w:p>
    <w:p w14:paraId="4340C79E" w14:textId="3F2A09F9" w:rsidR="3735ACF4" w:rsidRDefault="3735ACF4" w:rsidP="13C70224">
      <w:pPr>
        <w:spacing w:line="276" w:lineRule="auto"/>
        <w:jc w:val="both"/>
        <w:rPr>
          <w:rFonts w:eastAsia="Arial" w:cs="Arial"/>
        </w:rPr>
      </w:pPr>
      <w:r w:rsidRPr="13C70224">
        <w:rPr>
          <w:rFonts w:eastAsia="Arial" w:cs="Arial"/>
        </w:rPr>
        <w:t>Il existe néanmoins de fortes disparités lorsque l’on compare les résultats des laboratoires à l’échelle des parcelles, avec 33% (5/15) parcelles présentant une précision élevée à très élevée, 33% (5/15) des parcelles affichant une précision modérée et 33% (5/15) des parcelles affichant une précision faible ou mauvaise. Les comparaisons par parcelle sont plus sujettes aux fluctuations aléatoires en raison du faible nombre d’observations disponibles pour calculer les statistiques étudiées. Par conséquent, ces comparaisons à l’échelle de la parcelle doivent être interprétées avec davantage de prudence que celles réalisées à l’échelle de l’exploitation.</w:t>
      </w:r>
    </w:p>
    <w:p w14:paraId="78D57708" w14:textId="45EDE34F" w:rsidR="3735ACF4" w:rsidRDefault="3735ACF4" w:rsidP="13C70224">
      <w:pPr>
        <w:spacing w:line="276" w:lineRule="auto"/>
        <w:jc w:val="both"/>
        <w:rPr>
          <w:rFonts w:eastAsia="Arial" w:cs="Arial"/>
        </w:rPr>
      </w:pPr>
      <w:r w:rsidRPr="13C70224">
        <w:rPr>
          <w:rFonts w:eastAsia="Arial" w:cs="Arial"/>
          <w:b/>
          <w:bCs/>
        </w:rPr>
        <w:t xml:space="preserve">Ainsi, si l’on observe déjà, à l’échelle de la parcelle, que 66% des comparaisons à l’échelle de la parcelle présentent une précision seulement moyenne ou faible alors que les analyses de sol </w:t>
      </w:r>
      <w:r w:rsidRPr="13C70224">
        <w:rPr>
          <w:rFonts w:eastAsia="Arial" w:cs="Arial"/>
          <w:b/>
          <w:bCs/>
        </w:rPr>
        <w:lastRenderedPageBreak/>
        <w:t>de laboratoire servent ici de référence, il est logique de s’attendre à ce que les résultats obtenus avec les solutions Veris MSP3 et InterraScan soient également plus variables à l’échelle de la parcelle.</w:t>
      </w:r>
      <w:r w:rsidRPr="13C70224">
        <w:rPr>
          <w:rFonts w:eastAsia="Arial" w:cs="Arial"/>
        </w:rPr>
        <w:t xml:space="preserve"> Cela souligne l’importance de nuancer l’interprétation des performances de ces outils à l’échelle fine de la parcelle, tout en gardant en tête la robustesse globale de la référence à l’échelle de l’exploitation.</w:t>
      </w:r>
    </w:p>
    <w:p w14:paraId="037B31A5" w14:textId="18808053" w:rsidR="1BDD9486" w:rsidRDefault="1BDD9486" w:rsidP="13C70224">
      <w:pPr>
        <w:spacing w:line="276" w:lineRule="auto"/>
        <w:jc w:val="both"/>
        <w:rPr>
          <w:rFonts w:eastAsia="Arial" w:cs="Arial"/>
        </w:rPr>
      </w:pPr>
    </w:p>
    <w:p w14:paraId="1A728C9F" w14:textId="5C0563E1" w:rsidR="3735ACF4" w:rsidRDefault="3735ACF4" w:rsidP="13C70224">
      <w:pPr>
        <w:pStyle w:val="Titre5"/>
        <w:spacing w:line="276" w:lineRule="auto"/>
        <w:jc w:val="both"/>
        <w:rPr>
          <w:rFonts w:eastAsia="Arial" w:cs="Arial"/>
          <w:color w:val="auto"/>
        </w:rPr>
      </w:pPr>
      <w:r w:rsidRPr="13C70224">
        <w:rPr>
          <w:rFonts w:eastAsia="Arial" w:cs="Arial"/>
        </w:rPr>
        <w:t>Variabilité des résultats intra-laboratoire</w:t>
      </w:r>
    </w:p>
    <w:p w14:paraId="39A14CDA" w14:textId="65F89437" w:rsidR="3735ACF4" w:rsidRDefault="3735ACF4" w:rsidP="13C70224">
      <w:pPr>
        <w:spacing w:line="276" w:lineRule="auto"/>
        <w:jc w:val="both"/>
        <w:rPr>
          <w:rFonts w:eastAsia="Arial" w:cs="Arial"/>
        </w:rPr>
      </w:pPr>
      <w:r w:rsidRPr="13C70224">
        <w:rPr>
          <w:rFonts w:eastAsia="Arial" w:cs="Arial"/>
        </w:rPr>
        <w:t>Sur trois points d’analyse, deux échantillons de sol ont été prélevés et analysés par le laboratoire BW. L’objectif était d’évaluer l’effet du mode d’échantillonnage sur les résultats analytiques ainsi que de quantifier la variabilité intra‑laboratoire.</w:t>
      </w:r>
    </w:p>
    <w:p w14:paraId="7921396E" w14:textId="118B0576" w:rsidR="3735ACF4" w:rsidRDefault="3735ACF4" w:rsidP="13C70224">
      <w:pPr>
        <w:spacing w:line="276" w:lineRule="auto"/>
        <w:jc w:val="both"/>
        <w:rPr>
          <w:rFonts w:eastAsia="Arial" w:cs="Arial"/>
        </w:rPr>
      </w:pPr>
      <w:r w:rsidRPr="13C70224">
        <w:rPr>
          <w:rFonts w:eastAsia="Arial" w:cs="Arial"/>
        </w:rPr>
        <w:t>Pour le carbone organique, la variabilité intra‑laboratoire observée était en moyenne de ± 0,052%.</w:t>
      </w:r>
    </w:p>
    <w:p w14:paraId="44C6509F" w14:textId="4687186B" w:rsidR="1BDD9486" w:rsidRDefault="1BDD9486" w:rsidP="13C70224">
      <w:pPr>
        <w:spacing w:line="276" w:lineRule="auto"/>
        <w:jc w:val="both"/>
        <w:rPr>
          <w:rFonts w:eastAsia="Arial" w:cs="Arial"/>
        </w:rPr>
      </w:pPr>
    </w:p>
    <w:p w14:paraId="64B011A6" w14:textId="420798A4" w:rsidR="3735ACF4" w:rsidRDefault="3735ACF4" w:rsidP="13C70224">
      <w:pPr>
        <w:pStyle w:val="Titre4"/>
        <w:spacing w:line="276" w:lineRule="auto"/>
        <w:jc w:val="both"/>
        <w:rPr>
          <w:rFonts w:eastAsia="Arial" w:cs="Arial"/>
        </w:rPr>
      </w:pPr>
      <w:r w:rsidRPr="13C70224">
        <w:rPr>
          <w:rFonts w:eastAsia="Arial" w:cs="Arial"/>
        </w:rPr>
        <w:t>Veris MSP3</w:t>
      </w:r>
    </w:p>
    <w:p w14:paraId="5C375F74" w14:textId="4732732A" w:rsidR="3735ACF4" w:rsidRDefault="3735ACF4" w:rsidP="13C70224">
      <w:pPr>
        <w:pStyle w:val="Titre5"/>
        <w:spacing w:line="276" w:lineRule="auto"/>
        <w:jc w:val="both"/>
        <w:rPr>
          <w:rFonts w:eastAsia="Arial" w:cs="Arial"/>
        </w:rPr>
      </w:pPr>
      <w:r w:rsidRPr="13C70224">
        <w:rPr>
          <w:rFonts w:eastAsia="Arial" w:cs="Arial"/>
        </w:rPr>
        <w:t>Carbone organique</w:t>
      </w:r>
    </w:p>
    <w:p w14:paraId="727FDA00" w14:textId="1317E632" w:rsidR="3735ACF4" w:rsidRDefault="301CA6B2" w:rsidP="13C70224">
      <w:pPr>
        <w:spacing w:line="276" w:lineRule="auto"/>
        <w:jc w:val="both"/>
        <w:rPr>
          <w:rFonts w:eastAsia="Arial" w:cs="Arial"/>
        </w:rPr>
      </w:pPr>
      <w:r w:rsidRPr="13C70224">
        <w:rPr>
          <w:rFonts w:eastAsia="Arial" w:cs="Arial"/>
        </w:rPr>
        <w:t xml:space="preserve">Les mesures du % de carbone organique produites par le laboratoire BW et la solution Veris MSP3 sont comparées dans la </w:t>
      </w:r>
      <w:r w:rsidR="57748370" w:rsidRPr="13C70224">
        <w:rPr>
          <w:rFonts w:eastAsia="Arial" w:cs="Arial"/>
        </w:rPr>
        <w:t>figure 17</w:t>
      </w:r>
      <w:r w:rsidRPr="13C70224">
        <w:rPr>
          <w:rFonts w:eastAsia="Arial" w:cs="Arial"/>
        </w:rPr>
        <w:t>.</w:t>
      </w:r>
    </w:p>
    <w:p w14:paraId="4DA28EEB" w14:textId="7B0E48E7" w:rsidR="3735ACF4" w:rsidRDefault="301CA6B2" w:rsidP="3BFF6491">
      <w:pPr>
        <w:keepNext/>
        <w:spacing w:line="276" w:lineRule="auto"/>
        <w:jc w:val="center"/>
        <w:rPr>
          <w:rFonts w:eastAsia="Arial" w:cs="Arial"/>
        </w:rPr>
      </w:pPr>
      <w:r>
        <w:rPr>
          <w:noProof/>
        </w:rPr>
        <w:drawing>
          <wp:inline distT="0" distB="0" distL="0" distR="0" wp14:anchorId="7671321A" wp14:editId="3B948087">
            <wp:extent cx="4282862" cy="4680000"/>
            <wp:effectExtent l="0" t="0" r="3810" b="6350"/>
            <wp:docPr id="124153550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77347" name=""/>
                    <pic:cNvPicPr/>
                  </pic:nvPicPr>
                  <pic:blipFill>
                    <a:blip r:embed="rId30"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5D701D7E" w14:textId="40657262" w:rsidR="3735ACF4" w:rsidRDefault="301CA6B2" w:rsidP="13C70224">
      <w:pPr>
        <w:pStyle w:val="Lgende"/>
        <w:spacing w:line="276" w:lineRule="auto"/>
        <w:jc w:val="both"/>
        <w:rPr>
          <w:rFonts w:eastAsia="Arial" w:cs="Arial"/>
        </w:rPr>
      </w:pPr>
      <w:r w:rsidRPr="3BFF6491">
        <w:rPr>
          <w:rFonts w:eastAsia="Arial" w:cs="Arial"/>
        </w:rPr>
        <w:t xml:space="preserve">Figure </w:t>
      </w:r>
      <w:r w:rsidR="259F237A" w:rsidRPr="3BFF6491">
        <w:rPr>
          <w:rFonts w:eastAsia="Arial" w:cs="Arial"/>
        </w:rPr>
        <w:t>17</w:t>
      </w:r>
      <w:r w:rsidRPr="3BFF6491">
        <w:rPr>
          <w:rFonts w:eastAsia="Arial" w:cs="Arial"/>
        </w:rPr>
        <w:t xml:space="preserve">. Comparaison des mesures du % de carbone organiques produites par le laboratoire BW et de la solution </w:t>
      </w:r>
      <w:proofErr w:type="spellStart"/>
      <w:r w:rsidRPr="3BFF6491">
        <w:rPr>
          <w:rFonts w:eastAsia="Arial" w:cs="Arial"/>
        </w:rPr>
        <w:t>veris</w:t>
      </w:r>
      <w:proofErr w:type="spellEnd"/>
      <w:r w:rsidRPr="3BFF6491">
        <w:rPr>
          <w:rFonts w:eastAsia="Arial" w:cs="Arial"/>
        </w:rPr>
        <w:t xml:space="preserve"> MSP3. Le coefficient de concordance de Lin (CC Lin), ainsi que les indicateurs d’exactitude et de précision, sont indiqués sur la figure. Chaque point correspond à une analyse de sol. Les points plus foncés représentent un </w:t>
      </w:r>
      <w:r w:rsidRPr="3BFF6491">
        <w:rPr>
          <w:rFonts w:eastAsia="Arial" w:cs="Arial"/>
        </w:rPr>
        <w:lastRenderedPageBreak/>
        <w:t xml:space="preserve">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p w14:paraId="455D6C5F" w14:textId="7BB9C859" w:rsidR="3735ACF4" w:rsidRDefault="3735ACF4" w:rsidP="13C70224">
      <w:pPr>
        <w:spacing w:before="240" w:after="159" w:line="276" w:lineRule="auto"/>
        <w:jc w:val="both"/>
        <w:rPr>
          <w:rFonts w:eastAsia="Arial" w:cs="Arial"/>
        </w:rPr>
      </w:pPr>
      <w:r w:rsidRPr="13C70224">
        <w:rPr>
          <w:rFonts w:eastAsia="Arial" w:cs="Arial"/>
        </w:rPr>
        <w:t xml:space="preserve">La cohérence des résultats entre le laboratoire et la solution Veris MSP3 pour le % de carbone organique était modérée (Précision = 0.57) avec cependant un taux d’exactitude élevé (Exactitude = 0.92). </w:t>
      </w:r>
    </w:p>
    <w:p w14:paraId="25596B18" w14:textId="32227390" w:rsidR="3735ACF4" w:rsidRDefault="301CA6B2" w:rsidP="13C70224">
      <w:pPr>
        <w:spacing w:after="159" w:line="276" w:lineRule="auto"/>
        <w:jc w:val="both"/>
        <w:rPr>
          <w:rFonts w:eastAsia="Arial" w:cs="Arial"/>
        </w:rPr>
      </w:pPr>
      <w:r w:rsidRPr="13C70224">
        <w:rPr>
          <w:rFonts w:eastAsia="Arial" w:cs="Arial"/>
        </w:rPr>
        <w:t>Ensuite, on peut noter qu’il existait de fortes disparités sur la précision des comparaisons entre les parcelles étudiées (</w:t>
      </w:r>
      <w:r w:rsidR="7438BD54" w:rsidRPr="13C70224">
        <w:rPr>
          <w:rFonts w:eastAsia="Arial" w:cs="Arial"/>
        </w:rPr>
        <w:t>figure 18</w:t>
      </w:r>
      <w:r w:rsidRPr="13C70224">
        <w:rPr>
          <w:rFonts w:eastAsia="Arial" w:cs="Arial"/>
        </w:rPr>
        <w:t xml:space="preserve">, matrice supérieure). </w:t>
      </w:r>
    </w:p>
    <w:p w14:paraId="38CC9D59" w14:textId="7586A7D5" w:rsidR="3735ACF4" w:rsidRDefault="301CA6B2" w:rsidP="3BFF6491">
      <w:pPr>
        <w:spacing w:after="159" w:line="276" w:lineRule="auto"/>
        <w:jc w:val="center"/>
        <w:rPr>
          <w:rFonts w:eastAsia="Arial" w:cs="Arial"/>
        </w:rPr>
      </w:pPr>
      <w:r>
        <w:rPr>
          <w:noProof/>
        </w:rPr>
        <w:drawing>
          <wp:inline distT="0" distB="0" distL="0" distR="0" wp14:anchorId="1E3C2DE7" wp14:editId="2915021D">
            <wp:extent cx="5039843" cy="2879164"/>
            <wp:effectExtent l="0" t="0" r="8890" b="0"/>
            <wp:docPr id="162067309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93599" name=""/>
                    <pic:cNvPicPr/>
                  </pic:nvPicPr>
                  <pic:blipFill>
                    <a:blip r:embed="rId31"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010FAA2F" w14:textId="1347F145" w:rsidR="3735ACF4" w:rsidRDefault="301CA6B2" w:rsidP="13C70224">
      <w:pPr>
        <w:pStyle w:val="Lgende"/>
        <w:spacing w:after="159" w:line="276" w:lineRule="auto"/>
        <w:jc w:val="both"/>
        <w:rPr>
          <w:rFonts w:eastAsia="Arial" w:cs="Arial"/>
        </w:rPr>
      </w:pPr>
      <w:r w:rsidRPr="3BFF6491">
        <w:rPr>
          <w:rFonts w:eastAsia="Arial" w:cs="Arial"/>
        </w:rPr>
        <w:t xml:space="preserve">Figure </w:t>
      </w:r>
      <w:r w:rsidR="241C4294" w:rsidRPr="3BFF6491">
        <w:rPr>
          <w:rFonts w:eastAsia="Arial" w:cs="Arial"/>
        </w:rPr>
        <w:t>18</w:t>
      </w:r>
      <w:r w:rsidRPr="3BFF6491">
        <w:rPr>
          <w:rFonts w:eastAsia="Arial" w:cs="Arial"/>
        </w:rPr>
        <w:t>. Matrices de corrélation entre les mesures de carbone organique réalisées par le laboratoire BW, celles du laboratoire BDB et les mesures issues des solutions Veris MSP3, à l’échelle de la parcelle. Les parcelles sont classées selon leur degré d’hétérogénéité en carbone organique,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et dont les corrélations inter-laboratoires n’étaient pas fortes (&lt; 0,7) ont été masquées.</w:t>
      </w:r>
    </w:p>
    <w:p w14:paraId="3933755D" w14:textId="47A3C101" w:rsidR="1BDD9486" w:rsidRDefault="1BDD9486" w:rsidP="13C70224">
      <w:pPr>
        <w:spacing w:after="159" w:line="276" w:lineRule="auto"/>
        <w:jc w:val="both"/>
        <w:rPr>
          <w:rFonts w:eastAsia="Arial" w:cs="Arial"/>
        </w:rPr>
      </w:pPr>
    </w:p>
    <w:p w14:paraId="3C344D1F" w14:textId="45EACD49" w:rsidR="3735ACF4" w:rsidRDefault="3735ACF4" w:rsidP="13C70224">
      <w:pPr>
        <w:spacing w:after="159" w:line="276" w:lineRule="auto"/>
        <w:jc w:val="both"/>
        <w:rPr>
          <w:rFonts w:eastAsia="Arial" w:cs="Arial"/>
        </w:rPr>
      </w:pPr>
      <w:r w:rsidRPr="13C70224">
        <w:rPr>
          <w:rFonts w:eastAsia="Arial" w:cs="Arial"/>
        </w:rPr>
        <w:t>En se concentrant uniquement sur les parcelles les plus hétérogènes en carbone organique et sur les parcelles dont les analyses de sol étaient concordantes entre les deux laboratoires (</w:t>
      </w:r>
      <w:r w:rsidRPr="1BDD9486">
        <w:rPr>
          <w:rFonts w:eastAsia="Arial" w:cs="Arial"/>
          <w:highlight w:val="yellow"/>
        </w:rPr>
        <w:fldChar w:fldCharType="begin"/>
      </w:r>
      <w:r w:rsidRPr="1BDD9486">
        <w:rPr>
          <w:rFonts w:eastAsia="Arial" w:cs="Arial"/>
        </w:rPr>
        <w:instrText xml:space="preserve"> REF _Ref221888753 \h </w:instrText>
      </w:r>
      <w:r w:rsidRPr="1BDD9486">
        <w:rPr>
          <w:rFonts w:eastAsia="Arial" w:cs="Arial"/>
          <w:highlight w:val="yellow"/>
        </w:rPr>
        <w:instrText xml:space="preserve"> \* MERGEFORMAT </w:instrText>
      </w:r>
      <w:r w:rsidRPr="1BDD9486">
        <w:rPr>
          <w:rFonts w:eastAsia="Arial" w:cs="Arial"/>
          <w:highlight w:val="yellow"/>
        </w:rPr>
      </w:r>
      <w:r w:rsidRPr="1BDD9486">
        <w:rPr>
          <w:rFonts w:eastAsia="Arial" w:cs="Arial"/>
          <w:highlight w:val="yellow"/>
        </w:rPr>
        <w:fldChar w:fldCharType="separate"/>
      </w:r>
      <w:r w:rsidRPr="1BDD9486">
        <w:rPr>
          <w:rFonts w:eastAsia="Arial" w:cs="Arial"/>
        </w:rPr>
        <w:t xml:space="preserve">Figure </w:t>
      </w:r>
      <w:r w:rsidRPr="1BDD9486">
        <w:rPr>
          <w:noProof/>
        </w:rPr>
        <w:t>27</w:t>
      </w:r>
      <w:r w:rsidRPr="1BDD9486">
        <w:rPr>
          <w:rFonts w:eastAsia="Arial" w:cs="Arial"/>
          <w:highlight w:val="yellow"/>
        </w:rPr>
        <w:fldChar w:fldCharType="end"/>
      </w:r>
      <w:r w:rsidRPr="13C70224">
        <w:rPr>
          <w:rFonts w:eastAsia="Arial" w:cs="Arial"/>
        </w:rPr>
        <w:t>, matrice inférieure), les précisions des résultats étaient fortes pour la seule parcelle encore considérée.</w:t>
      </w:r>
    </w:p>
    <w:p w14:paraId="08B9DE01" w14:textId="7328A8A9" w:rsidR="1BDD9486" w:rsidRDefault="1BDD9486" w:rsidP="13C70224">
      <w:pPr>
        <w:spacing w:after="159" w:line="276" w:lineRule="auto"/>
        <w:jc w:val="both"/>
        <w:rPr>
          <w:rFonts w:eastAsia="Arial" w:cs="Arial"/>
        </w:rPr>
      </w:pPr>
    </w:p>
    <w:p w14:paraId="769A3F5D" w14:textId="217ACEB2" w:rsidR="3735ACF4" w:rsidRDefault="3735ACF4" w:rsidP="13C70224">
      <w:pPr>
        <w:pStyle w:val="Titre5"/>
        <w:spacing w:line="276" w:lineRule="auto"/>
        <w:jc w:val="both"/>
        <w:rPr>
          <w:rFonts w:eastAsia="Arial" w:cs="Arial"/>
        </w:rPr>
      </w:pPr>
      <w:r w:rsidRPr="13C70224">
        <w:rPr>
          <w:rFonts w:eastAsia="Arial" w:cs="Arial"/>
        </w:rPr>
        <w:t>Taux d’argile</w:t>
      </w:r>
    </w:p>
    <w:p w14:paraId="23F59E90" w14:textId="6E286304" w:rsidR="3735ACF4" w:rsidRDefault="301CA6B2" w:rsidP="13C70224">
      <w:pPr>
        <w:spacing w:before="240" w:after="159" w:line="276" w:lineRule="auto"/>
        <w:jc w:val="both"/>
        <w:rPr>
          <w:rFonts w:eastAsia="Arial" w:cs="Arial"/>
        </w:rPr>
      </w:pPr>
      <w:r w:rsidRPr="13C70224">
        <w:rPr>
          <w:rFonts w:eastAsia="Arial" w:cs="Arial"/>
        </w:rPr>
        <w:t xml:space="preserve">Les mesures du taux d’argile produites par le laboratoire BW ont été comparées à la conductivité électrique du sol (0–30 cm) fournie par la solution Veris MSP3. La conductivité électrique du sol constitue une mesure indirecte du taux d’argile. Il s’agit d’une mesure relative, car elle dépend notamment du taux d’humidité au moment de la cartographie. En conséquence, seules des comparaisons à l’échelle de la parcelle sont pertinentes. Les comparaisons entre la conductivité électrique du sol et le taux d’argile produites par le laboratoire BW à l’échelle de la parcelle sont disponible dans la matrice supérieure de la </w:t>
      </w:r>
      <w:r w:rsidR="1D16D0A2" w:rsidRPr="13C70224">
        <w:rPr>
          <w:rFonts w:eastAsia="Arial" w:cs="Arial"/>
        </w:rPr>
        <w:t>figure 19</w:t>
      </w:r>
      <w:r w:rsidRPr="13C70224">
        <w:rPr>
          <w:rFonts w:eastAsia="Arial" w:cs="Arial"/>
        </w:rPr>
        <w:t>.</w:t>
      </w:r>
    </w:p>
    <w:p w14:paraId="4DDC2C91" w14:textId="25FA590B" w:rsidR="1BDD9486" w:rsidRDefault="1BDD9486" w:rsidP="13C70224">
      <w:pPr>
        <w:spacing w:before="240" w:after="159" w:line="276" w:lineRule="auto"/>
        <w:jc w:val="both"/>
        <w:rPr>
          <w:rFonts w:eastAsia="Arial" w:cs="Arial"/>
        </w:rPr>
      </w:pPr>
    </w:p>
    <w:p w14:paraId="18D58C2B" w14:textId="77777777" w:rsidR="3735ACF4" w:rsidRDefault="301CA6B2" w:rsidP="3BFF6491">
      <w:pPr>
        <w:keepNext/>
        <w:spacing w:before="240" w:after="159" w:line="276" w:lineRule="auto"/>
        <w:jc w:val="center"/>
        <w:rPr>
          <w:rFonts w:eastAsia="Arial" w:cs="Arial"/>
        </w:rPr>
      </w:pPr>
      <w:r>
        <w:rPr>
          <w:noProof/>
        </w:rPr>
        <w:lastRenderedPageBreak/>
        <w:drawing>
          <wp:inline distT="0" distB="0" distL="0" distR="0" wp14:anchorId="68D1B879" wp14:editId="485A9E40">
            <wp:extent cx="5039843" cy="2879164"/>
            <wp:effectExtent l="0" t="0" r="8890" b="0"/>
            <wp:docPr id="162663178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752922" name=""/>
                    <pic:cNvPicPr/>
                  </pic:nvPicPr>
                  <pic:blipFill>
                    <a:blip r:embed="rId32"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48023E06" w14:textId="3066A05E" w:rsidR="3735ACF4" w:rsidRDefault="301CA6B2" w:rsidP="13C70224">
      <w:pPr>
        <w:pStyle w:val="Lgende"/>
        <w:spacing w:line="276" w:lineRule="auto"/>
        <w:jc w:val="both"/>
        <w:rPr>
          <w:rFonts w:eastAsia="Arial" w:cs="Arial"/>
        </w:rPr>
      </w:pPr>
      <w:r w:rsidRPr="3BFF6491">
        <w:rPr>
          <w:rFonts w:eastAsia="Arial" w:cs="Arial"/>
        </w:rPr>
        <w:t xml:space="preserve">Figure </w:t>
      </w:r>
      <w:r w:rsidR="3ED6B301" w:rsidRPr="3BFF6491">
        <w:rPr>
          <w:rFonts w:eastAsia="Arial" w:cs="Arial"/>
        </w:rPr>
        <w:t>19</w:t>
      </w:r>
      <w:r w:rsidRPr="3BFF6491">
        <w:rPr>
          <w:rFonts w:eastAsia="Arial" w:cs="Arial"/>
        </w:rPr>
        <w:t>. Matrices de corrélation entre les mesures du taux d’argile réalisées par le laboratoire BW et les mesures de conductivité électrique du sol (0-30cml) issues des solutions Veris MSP3, à l’échelle de la parcelle. Les parcelles sont classées selon leur degré d’hétérogénéité du taux d’argile,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ont été masquées.</w:t>
      </w:r>
    </w:p>
    <w:p w14:paraId="5C6DE38B" w14:textId="1CB2AF55" w:rsidR="3735ACF4" w:rsidRDefault="3735ACF4" w:rsidP="13C70224">
      <w:pPr>
        <w:spacing w:before="240" w:after="159" w:line="276" w:lineRule="auto"/>
        <w:jc w:val="both"/>
        <w:rPr>
          <w:rFonts w:eastAsia="Arial" w:cs="Arial"/>
        </w:rPr>
      </w:pPr>
      <w:r w:rsidRPr="13C70224">
        <w:rPr>
          <w:rFonts w:eastAsia="Arial" w:cs="Arial"/>
        </w:rPr>
        <w:t>En se concentrant uniquement sur les parcelles les plus hétérogènes en taux d’argile (Figure 28, matrice inférieure), les précisions des résultats étaient fortes à très forte pour 100% des comparaisons.</w:t>
      </w:r>
    </w:p>
    <w:p w14:paraId="4C5001A7" w14:textId="783AE183" w:rsidR="1BDD9486" w:rsidRDefault="1BDD9486" w:rsidP="13C70224">
      <w:pPr>
        <w:spacing w:before="240" w:after="159" w:line="276" w:lineRule="auto"/>
        <w:jc w:val="both"/>
        <w:rPr>
          <w:rFonts w:eastAsia="Arial" w:cs="Arial"/>
        </w:rPr>
      </w:pPr>
    </w:p>
    <w:p w14:paraId="7D52B730" w14:textId="2EBA9655" w:rsidR="3735ACF4" w:rsidRDefault="3735ACF4" w:rsidP="13C70224">
      <w:pPr>
        <w:pStyle w:val="Titre4"/>
        <w:spacing w:line="276" w:lineRule="auto"/>
        <w:jc w:val="both"/>
        <w:rPr>
          <w:rFonts w:eastAsia="Arial" w:cs="Arial"/>
        </w:rPr>
      </w:pPr>
      <w:r w:rsidRPr="13C70224">
        <w:rPr>
          <w:rFonts w:eastAsia="Arial" w:cs="Arial"/>
        </w:rPr>
        <w:t>InterraScan</w:t>
      </w:r>
    </w:p>
    <w:p w14:paraId="2DBA57AF" w14:textId="24BCDD58" w:rsidR="3735ACF4" w:rsidRDefault="3735ACF4" w:rsidP="13C70224">
      <w:pPr>
        <w:pStyle w:val="Titre5"/>
        <w:spacing w:line="276" w:lineRule="auto"/>
        <w:jc w:val="both"/>
        <w:rPr>
          <w:rFonts w:eastAsia="Arial" w:cs="Arial"/>
        </w:rPr>
      </w:pPr>
      <w:r w:rsidRPr="13C70224">
        <w:rPr>
          <w:rFonts w:eastAsia="Arial" w:cs="Arial"/>
        </w:rPr>
        <w:t>Carbone organique</w:t>
      </w:r>
    </w:p>
    <w:p w14:paraId="314CF673" w14:textId="73733ACA" w:rsidR="3735ACF4" w:rsidRDefault="301CA6B2" w:rsidP="13C70224">
      <w:pPr>
        <w:spacing w:line="276" w:lineRule="auto"/>
        <w:jc w:val="both"/>
        <w:rPr>
          <w:rFonts w:eastAsia="Arial" w:cs="Arial"/>
          <w:highlight w:val="yellow"/>
        </w:rPr>
      </w:pPr>
      <w:r w:rsidRPr="13C70224">
        <w:rPr>
          <w:rFonts w:eastAsia="Arial" w:cs="Arial"/>
        </w:rPr>
        <w:t xml:space="preserve">Les mesures de carbone organique produites par le laboratoire BW et la solution InterraScan sont comparées dans la </w:t>
      </w:r>
      <w:r w:rsidR="5013330D" w:rsidRPr="13C70224">
        <w:rPr>
          <w:rFonts w:eastAsia="Arial" w:cs="Arial"/>
        </w:rPr>
        <w:t>figure 20</w:t>
      </w:r>
      <w:r w:rsidRPr="13C70224">
        <w:rPr>
          <w:rFonts w:eastAsia="Arial" w:cs="Arial"/>
        </w:rPr>
        <w:t>.</w:t>
      </w:r>
    </w:p>
    <w:p w14:paraId="3C519664" w14:textId="77777777" w:rsidR="3735ACF4" w:rsidRDefault="301CA6B2" w:rsidP="3BFF6491">
      <w:pPr>
        <w:keepNext/>
        <w:spacing w:line="276" w:lineRule="auto"/>
        <w:jc w:val="center"/>
        <w:rPr>
          <w:rFonts w:eastAsia="Arial" w:cs="Arial"/>
        </w:rPr>
      </w:pPr>
      <w:r>
        <w:rPr>
          <w:noProof/>
        </w:rPr>
        <w:lastRenderedPageBreak/>
        <w:drawing>
          <wp:inline distT="0" distB="0" distL="0" distR="0" wp14:anchorId="2990A818" wp14:editId="5D005397">
            <wp:extent cx="4282862" cy="4680000"/>
            <wp:effectExtent l="0" t="0" r="3810" b="6350"/>
            <wp:docPr id="172929140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246152" name=""/>
                    <pic:cNvPicPr/>
                  </pic:nvPicPr>
                  <pic:blipFill>
                    <a:blip r:embed="rId33"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16E779C5" w14:textId="0B7C6874" w:rsidR="3735ACF4" w:rsidRDefault="301CA6B2" w:rsidP="13C70224">
      <w:pPr>
        <w:pStyle w:val="Lgende"/>
        <w:spacing w:line="276" w:lineRule="auto"/>
        <w:jc w:val="both"/>
        <w:rPr>
          <w:rFonts w:eastAsia="Arial" w:cs="Arial"/>
        </w:rPr>
      </w:pPr>
      <w:r w:rsidRPr="3BFF6491">
        <w:rPr>
          <w:rFonts w:eastAsia="Arial" w:cs="Arial"/>
        </w:rPr>
        <w:t xml:space="preserve">Figure </w:t>
      </w:r>
      <w:r w:rsidR="55E3D1CF" w:rsidRPr="3BFF6491">
        <w:rPr>
          <w:rFonts w:eastAsia="Arial" w:cs="Arial"/>
        </w:rPr>
        <w:t>20</w:t>
      </w:r>
      <w:r w:rsidRPr="3BFF6491">
        <w:rPr>
          <w:rFonts w:eastAsia="Arial" w:cs="Arial"/>
        </w:rPr>
        <w:t xml:space="preserve">. Comparaison des mesures de carbone organique produites par le laboratoire BW et la solution InterraScan. Le coefficient de concordance de Lin (CC Lin), ainsi que les indicateurs d’exactitude et de précision, sont indiqués sur la figure. Chaque point correspond à une analyse. Les points plus foncés représentent un 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p w14:paraId="256878E0" w14:textId="69A131E3" w:rsidR="3735ACF4" w:rsidRDefault="3735ACF4" w:rsidP="13C70224">
      <w:pPr>
        <w:spacing w:line="276" w:lineRule="auto"/>
        <w:jc w:val="both"/>
        <w:rPr>
          <w:rFonts w:eastAsia="Arial" w:cs="Arial"/>
        </w:rPr>
      </w:pPr>
      <w:r w:rsidRPr="13C70224">
        <w:rPr>
          <w:rFonts w:eastAsia="Arial" w:cs="Arial"/>
        </w:rPr>
        <w:t xml:space="preserve">La corrélation des résultats entre le laboratoire et la solution InterraScan pour le carbone organique était forte (Précision = 0.7) avec un taux d’exactitude élevé (Exactitude = 0.98). </w:t>
      </w:r>
    </w:p>
    <w:p w14:paraId="635091F2" w14:textId="540A9330" w:rsidR="3735ACF4" w:rsidRDefault="301CA6B2" w:rsidP="13C70224">
      <w:pPr>
        <w:spacing w:line="276" w:lineRule="auto"/>
        <w:jc w:val="both"/>
        <w:rPr>
          <w:rFonts w:eastAsia="Arial" w:cs="Arial"/>
        </w:rPr>
      </w:pPr>
      <w:r w:rsidRPr="13C70224">
        <w:rPr>
          <w:rFonts w:eastAsia="Arial" w:cs="Arial"/>
        </w:rPr>
        <w:t>Ici aussi, on peut noter qu’il existait de fortes disparités sur la précision des comparaisons entre les parcelles étudiées (</w:t>
      </w:r>
      <w:r w:rsidR="05495BF8" w:rsidRPr="13C70224">
        <w:rPr>
          <w:rFonts w:eastAsia="Arial" w:cs="Arial"/>
        </w:rPr>
        <w:t>figure 21</w:t>
      </w:r>
      <w:r w:rsidRPr="13C70224">
        <w:rPr>
          <w:rFonts w:eastAsia="Arial" w:cs="Arial"/>
        </w:rPr>
        <w:t>, matrice supérieure).</w:t>
      </w:r>
    </w:p>
    <w:p w14:paraId="107EA2F7" w14:textId="77777777" w:rsidR="3735ACF4" w:rsidRDefault="3735ACF4" w:rsidP="13C70224">
      <w:pPr>
        <w:keepNext/>
        <w:spacing w:line="276" w:lineRule="auto"/>
        <w:jc w:val="both"/>
        <w:rPr>
          <w:rFonts w:eastAsia="Arial" w:cs="Arial"/>
        </w:rPr>
      </w:pPr>
      <w:r>
        <w:rPr>
          <w:noProof/>
        </w:rPr>
        <w:lastRenderedPageBreak/>
        <w:drawing>
          <wp:inline distT="0" distB="0" distL="0" distR="0" wp14:anchorId="48C99FE7" wp14:editId="6B1396CF">
            <wp:extent cx="5039843" cy="2879164"/>
            <wp:effectExtent l="0" t="0" r="8890" b="0"/>
            <wp:docPr id="15452969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645901" name=""/>
                    <pic:cNvPicPr/>
                  </pic:nvPicPr>
                  <pic:blipFill>
                    <a:blip r:embed="rId34"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20B42411" w14:textId="7558E241" w:rsidR="3735ACF4" w:rsidRDefault="301CA6B2" w:rsidP="13C70224">
      <w:pPr>
        <w:pStyle w:val="Lgende"/>
        <w:spacing w:line="276" w:lineRule="auto"/>
        <w:jc w:val="both"/>
        <w:rPr>
          <w:rFonts w:eastAsia="Arial" w:cs="Arial"/>
        </w:rPr>
      </w:pPr>
      <w:r w:rsidRPr="3BFF6491">
        <w:rPr>
          <w:rFonts w:eastAsia="Arial" w:cs="Arial"/>
        </w:rPr>
        <w:t xml:space="preserve">Figure </w:t>
      </w:r>
      <w:r w:rsidR="146CFDDF" w:rsidRPr="3BFF6491">
        <w:rPr>
          <w:rFonts w:eastAsia="Arial" w:cs="Arial"/>
        </w:rPr>
        <w:t>21</w:t>
      </w:r>
      <w:r w:rsidRPr="3BFF6491">
        <w:rPr>
          <w:rFonts w:eastAsia="Arial" w:cs="Arial"/>
        </w:rPr>
        <w:t>. Matrices de corrélation entre les mesures de carbone organique réalisées par le laboratoire BW, celles du laboratoire BDB et les mesures issues des solutions InterraScan, à l’échelle des parcelles. Les parcelles sont classées selon leur degré d’hétérogénéité en carbone organique,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et dont les corrélations inter-laboratoires n’étaient pas fortes (&lt; 0,7) ont été masquées.</w:t>
      </w:r>
    </w:p>
    <w:p w14:paraId="3F809BF5" w14:textId="3F9AB1BB" w:rsidR="1BDD9486" w:rsidRDefault="1BDD9486" w:rsidP="13C70224">
      <w:pPr>
        <w:pStyle w:val="Lgende"/>
        <w:spacing w:line="276" w:lineRule="auto"/>
        <w:jc w:val="both"/>
        <w:rPr>
          <w:rFonts w:eastAsia="Arial" w:cs="Arial"/>
        </w:rPr>
      </w:pPr>
    </w:p>
    <w:p w14:paraId="720C7B08" w14:textId="212DF8B1" w:rsidR="3735ACF4" w:rsidRDefault="3735ACF4" w:rsidP="13C70224">
      <w:pPr>
        <w:spacing w:after="159" w:line="276" w:lineRule="auto"/>
        <w:jc w:val="both"/>
        <w:rPr>
          <w:rFonts w:eastAsia="Arial" w:cs="Arial"/>
        </w:rPr>
      </w:pPr>
      <w:r w:rsidRPr="13C70224">
        <w:rPr>
          <w:rFonts w:eastAsia="Arial" w:cs="Arial"/>
        </w:rPr>
        <w:t>Aucune parcelle ne pouvait plus être analysée une fois que les parcelles sans variations significatives et celles présentant des résultats discordants entre laboratoires avaient été masquées.</w:t>
      </w:r>
    </w:p>
    <w:p w14:paraId="61AE5B3D" w14:textId="71AFACDB" w:rsidR="1BDD9486" w:rsidRDefault="1BDD9486" w:rsidP="13C70224">
      <w:pPr>
        <w:keepNext/>
        <w:spacing w:line="276" w:lineRule="auto"/>
        <w:jc w:val="both"/>
        <w:rPr>
          <w:rFonts w:eastAsia="Arial" w:cs="Arial"/>
        </w:rPr>
      </w:pPr>
    </w:p>
    <w:p w14:paraId="08BE2229" w14:textId="38A588E0" w:rsidR="3735ACF4" w:rsidRDefault="3735ACF4" w:rsidP="13C70224">
      <w:pPr>
        <w:pStyle w:val="Titre5"/>
        <w:spacing w:line="276" w:lineRule="auto"/>
        <w:jc w:val="both"/>
        <w:rPr>
          <w:rFonts w:eastAsia="Arial" w:cs="Arial"/>
        </w:rPr>
      </w:pPr>
      <w:r w:rsidRPr="13C70224">
        <w:rPr>
          <w:rFonts w:eastAsia="Arial" w:cs="Arial"/>
        </w:rPr>
        <w:t>Taux d’argile</w:t>
      </w:r>
    </w:p>
    <w:p w14:paraId="04B29C21" w14:textId="6E9A5B71" w:rsidR="3735ACF4" w:rsidRDefault="301CA6B2" w:rsidP="13C70224">
      <w:pPr>
        <w:spacing w:line="276" w:lineRule="auto"/>
        <w:jc w:val="both"/>
        <w:rPr>
          <w:rFonts w:eastAsia="Arial" w:cs="Arial"/>
          <w:highlight w:val="yellow"/>
        </w:rPr>
      </w:pPr>
      <w:r w:rsidRPr="13C70224">
        <w:rPr>
          <w:rFonts w:eastAsia="Arial" w:cs="Arial"/>
        </w:rPr>
        <w:t xml:space="preserve">Les mesures de taux d’argile produites par le laboratoire BW et la solution InterraScan sont comparées dans la </w:t>
      </w:r>
      <w:r w:rsidR="5442F396" w:rsidRPr="13C70224">
        <w:rPr>
          <w:rFonts w:eastAsia="Arial" w:cs="Arial"/>
        </w:rPr>
        <w:t>figure 22</w:t>
      </w:r>
      <w:r w:rsidRPr="13C70224">
        <w:rPr>
          <w:rFonts w:eastAsia="Arial" w:cs="Arial"/>
        </w:rPr>
        <w:t>.</w:t>
      </w:r>
    </w:p>
    <w:p w14:paraId="55F02C5A" w14:textId="77777777" w:rsidR="3735ACF4" w:rsidRDefault="3735ACF4" w:rsidP="13C70224">
      <w:pPr>
        <w:keepNext/>
        <w:spacing w:line="276" w:lineRule="auto"/>
        <w:jc w:val="both"/>
        <w:rPr>
          <w:rFonts w:eastAsia="Arial" w:cs="Arial"/>
        </w:rPr>
      </w:pPr>
      <w:r>
        <w:rPr>
          <w:noProof/>
        </w:rPr>
        <w:lastRenderedPageBreak/>
        <w:drawing>
          <wp:inline distT="0" distB="0" distL="0" distR="0" wp14:anchorId="4A3EAFA4" wp14:editId="708A4B1E">
            <wp:extent cx="5238750" cy="5724525"/>
            <wp:effectExtent l="0" t="0" r="0" b="9525"/>
            <wp:docPr id="100621643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045271" name=""/>
                    <pic:cNvPicPr/>
                  </pic:nvPicPr>
                  <pic:blipFill>
                    <a:blip r:embed="rId35" cstate="screen">
                      <a:extLst>
                        <a:ext uri="{28A0092B-C50C-407E-A947-70E740481C1C}">
                          <a14:useLocalDpi xmlns:a14="http://schemas.microsoft.com/office/drawing/2010/main"/>
                        </a:ext>
                      </a:extLst>
                    </a:blip>
                    <a:stretch>
                      <a:fillRect/>
                    </a:stretch>
                  </pic:blipFill>
                  <pic:spPr>
                    <a:xfrm>
                      <a:off x="0" y="0"/>
                      <a:ext cx="5238750" cy="5724525"/>
                    </a:xfrm>
                    <a:prstGeom prst="rect">
                      <a:avLst/>
                    </a:prstGeom>
                  </pic:spPr>
                </pic:pic>
              </a:graphicData>
            </a:graphic>
          </wp:inline>
        </w:drawing>
      </w:r>
    </w:p>
    <w:p w14:paraId="4B7F31E7" w14:textId="1C2481B3" w:rsidR="3735ACF4" w:rsidRDefault="301CA6B2" w:rsidP="13C70224">
      <w:pPr>
        <w:pStyle w:val="Lgende"/>
        <w:spacing w:line="276" w:lineRule="auto"/>
        <w:jc w:val="both"/>
        <w:rPr>
          <w:rFonts w:eastAsia="Arial" w:cs="Arial"/>
        </w:rPr>
      </w:pPr>
      <w:r w:rsidRPr="3BFF6491">
        <w:rPr>
          <w:rFonts w:eastAsia="Arial" w:cs="Arial"/>
        </w:rPr>
        <w:t xml:space="preserve">Figure </w:t>
      </w:r>
      <w:r w:rsidR="4ACBDE6D" w:rsidRPr="3BFF6491">
        <w:rPr>
          <w:rFonts w:eastAsia="Arial" w:cs="Arial"/>
        </w:rPr>
        <w:t>22</w:t>
      </w:r>
      <w:r w:rsidRPr="3BFF6491">
        <w:rPr>
          <w:rFonts w:eastAsia="Arial" w:cs="Arial"/>
        </w:rPr>
        <w:t xml:space="preserve">. Comparaison des mesures de taux d’argile produites par le laboratoire BW et la solution InterraScan. Le coefficient de concordance de Lin (CC Lin), ainsi que les indicateurs d’exactitude et de précision, sont indiqués sur la figure. Chaque point correspond à une analyse. Les points plus foncés représentent un 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p w14:paraId="2212D717" w14:textId="235EAF32" w:rsidR="1BDD9486" w:rsidRDefault="1BDD9486" w:rsidP="13C70224">
      <w:pPr>
        <w:spacing w:line="276" w:lineRule="auto"/>
        <w:jc w:val="both"/>
        <w:rPr>
          <w:rFonts w:eastAsia="Arial" w:cs="Arial"/>
        </w:rPr>
      </w:pPr>
    </w:p>
    <w:p w14:paraId="126B2FF4" w14:textId="73F2F7C1" w:rsidR="3735ACF4" w:rsidRDefault="301CA6B2" w:rsidP="13C70224">
      <w:pPr>
        <w:spacing w:line="276" w:lineRule="auto"/>
        <w:jc w:val="both"/>
        <w:rPr>
          <w:rFonts w:eastAsia="Arial" w:cs="Arial"/>
        </w:rPr>
      </w:pPr>
      <w:r w:rsidRPr="13C70224">
        <w:rPr>
          <w:rFonts w:eastAsia="Arial" w:cs="Arial"/>
        </w:rPr>
        <w:t xml:space="preserve">La corrélation des résultats entre le laboratoire et la solution InterraScan pour le carbone organique était modérée (Précision = 0.54) avec un taux d’exactitude élevé (Exactitude = 0.99). Les comparaisons effectuées à l’échelle de la parcelle sont disponibles dans la matrice supérieure de la </w:t>
      </w:r>
      <w:r w:rsidR="557C3442" w:rsidRPr="13C70224">
        <w:rPr>
          <w:rFonts w:eastAsia="Arial" w:cs="Arial"/>
        </w:rPr>
        <w:t>figure 23</w:t>
      </w:r>
      <w:r w:rsidRPr="13C70224">
        <w:rPr>
          <w:rFonts w:eastAsia="Arial" w:cs="Arial"/>
        </w:rPr>
        <w:t>.</w:t>
      </w:r>
    </w:p>
    <w:p w14:paraId="7DA09DBD" w14:textId="5F082167" w:rsidR="1BDD9486" w:rsidRDefault="1BDD9486" w:rsidP="13C70224">
      <w:pPr>
        <w:spacing w:line="276" w:lineRule="auto"/>
        <w:jc w:val="both"/>
        <w:rPr>
          <w:rFonts w:eastAsia="Arial" w:cs="Arial"/>
        </w:rPr>
      </w:pPr>
    </w:p>
    <w:p w14:paraId="130B6EA4" w14:textId="3E9FBA95" w:rsidR="1BDD9486" w:rsidRDefault="1BDD9486" w:rsidP="13C70224">
      <w:pPr>
        <w:spacing w:line="276" w:lineRule="auto"/>
        <w:jc w:val="both"/>
        <w:rPr>
          <w:rFonts w:eastAsia="Arial" w:cs="Arial"/>
        </w:rPr>
      </w:pPr>
    </w:p>
    <w:p w14:paraId="43FBBE9B" w14:textId="7FDC845B" w:rsidR="1BDD9486" w:rsidRDefault="1BDD9486" w:rsidP="13C70224">
      <w:pPr>
        <w:spacing w:line="276" w:lineRule="auto"/>
        <w:jc w:val="both"/>
        <w:rPr>
          <w:rFonts w:eastAsia="Arial" w:cs="Arial"/>
        </w:rPr>
      </w:pPr>
    </w:p>
    <w:p w14:paraId="1FB9E38D" w14:textId="6E75524E" w:rsidR="1BDD9486" w:rsidRDefault="1BDD9486" w:rsidP="13C70224">
      <w:pPr>
        <w:spacing w:line="276" w:lineRule="auto"/>
        <w:jc w:val="both"/>
        <w:rPr>
          <w:rFonts w:eastAsia="Arial" w:cs="Arial"/>
        </w:rPr>
      </w:pPr>
    </w:p>
    <w:p w14:paraId="6C5B8D06" w14:textId="03A80C58" w:rsidR="1BDD9486" w:rsidRDefault="1BDD9486" w:rsidP="13C70224">
      <w:pPr>
        <w:spacing w:line="276" w:lineRule="auto"/>
        <w:jc w:val="both"/>
        <w:rPr>
          <w:rFonts w:eastAsia="Arial" w:cs="Arial"/>
        </w:rPr>
      </w:pPr>
    </w:p>
    <w:p w14:paraId="3E6A643A" w14:textId="773DB65D" w:rsidR="1BDD9486" w:rsidRDefault="1BDD9486" w:rsidP="13C70224">
      <w:pPr>
        <w:spacing w:line="276" w:lineRule="auto"/>
        <w:jc w:val="both"/>
        <w:rPr>
          <w:rFonts w:eastAsia="Arial" w:cs="Arial"/>
        </w:rPr>
      </w:pPr>
    </w:p>
    <w:p w14:paraId="2489EB0C" w14:textId="77777777" w:rsidR="3735ACF4" w:rsidRDefault="3735ACF4" w:rsidP="13C70224">
      <w:pPr>
        <w:keepNext/>
        <w:spacing w:line="276" w:lineRule="auto"/>
        <w:jc w:val="both"/>
        <w:rPr>
          <w:rFonts w:eastAsia="Arial" w:cs="Arial"/>
        </w:rPr>
      </w:pPr>
      <w:r>
        <w:rPr>
          <w:noProof/>
        </w:rPr>
        <w:drawing>
          <wp:inline distT="0" distB="0" distL="0" distR="0" wp14:anchorId="5519E4CA" wp14:editId="71513E9C">
            <wp:extent cx="5039843" cy="2879164"/>
            <wp:effectExtent l="0" t="0" r="8890" b="0"/>
            <wp:docPr id="61423634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923025" name=""/>
                    <pic:cNvPicPr/>
                  </pic:nvPicPr>
                  <pic:blipFill>
                    <a:blip r:embed="rId36"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7526B61E" w14:textId="7FF2936E" w:rsidR="3735ACF4" w:rsidRDefault="301CA6B2" w:rsidP="13C70224">
      <w:pPr>
        <w:pStyle w:val="Lgende"/>
        <w:spacing w:line="276" w:lineRule="auto"/>
        <w:jc w:val="both"/>
        <w:rPr>
          <w:rFonts w:eastAsia="Arial" w:cs="Arial"/>
        </w:rPr>
      </w:pPr>
      <w:r w:rsidRPr="3BFF6491">
        <w:rPr>
          <w:rFonts w:eastAsia="Arial" w:cs="Arial"/>
        </w:rPr>
        <w:t xml:space="preserve">Figure </w:t>
      </w:r>
      <w:r w:rsidR="6757F923" w:rsidRPr="3BFF6491">
        <w:rPr>
          <w:rFonts w:eastAsia="Arial" w:cs="Arial"/>
        </w:rPr>
        <w:t>23</w:t>
      </w:r>
      <w:r w:rsidRPr="3BFF6491">
        <w:rPr>
          <w:rFonts w:eastAsia="Arial" w:cs="Arial"/>
        </w:rPr>
        <w:t>. Matrices de corrélation entre les mesures de taux d'argile réalisées par le laboratoire BW et les mesures issues des solutions InterraScan à l’échelle des parcelles. Les parcelles sont classées selon leur degré d’hétérogénéité en taux d’argile,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ont été masquées.</w:t>
      </w:r>
    </w:p>
    <w:p w14:paraId="1D433E22" w14:textId="3C95E0DD" w:rsidR="3735ACF4" w:rsidRDefault="3735ACF4" w:rsidP="13C70224">
      <w:pPr>
        <w:spacing w:after="159" w:line="276" w:lineRule="auto"/>
        <w:jc w:val="both"/>
        <w:rPr>
          <w:rFonts w:eastAsia="Arial" w:cs="Arial"/>
        </w:rPr>
      </w:pPr>
      <w:r w:rsidRPr="13C70224">
        <w:rPr>
          <w:rFonts w:eastAsia="Arial" w:cs="Arial"/>
        </w:rPr>
        <w:t>En se concentrant uniquement sur les parcelles les plus hétérogènes en taux d’argile (Figure 32, matrice inférieure), les précisions des résultats étaient fortes ou très fortes pour 43% (3/7) des parcelles et modéré pour 57% (4/7) des parcelles.</w:t>
      </w:r>
    </w:p>
    <w:p w14:paraId="226FF8B3" w14:textId="63D03E5F" w:rsidR="1BDD9486" w:rsidRDefault="1BDD9486" w:rsidP="13C70224">
      <w:pPr>
        <w:spacing w:line="276" w:lineRule="auto"/>
        <w:jc w:val="both"/>
        <w:rPr>
          <w:rFonts w:eastAsia="Arial" w:cs="Arial"/>
        </w:rPr>
      </w:pPr>
    </w:p>
    <w:p w14:paraId="38D706F1" w14:textId="77707940" w:rsidR="3735ACF4" w:rsidRDefault="3735ACF4" w:rsidP="13C70224">
      <w:pPr>
        <w:pStyle w:val="Titre3"/>
        <w:spacing w:line="276" w:lineRule="auto"/>
        <w:jc w:val="both"/>
        <w:rPr>
          <w:rFonts w:eastAsia="Arial" w:cs="Arial"/>
        </w:rPr>
      </w:pPr>
      <w:r w:rsidRPr="13C70224">
        <w:rPr>
          <w:rFonts w:eastAsia="Arial" w:cs="Arial"/>
        </w:rPr>
        <w:t xml:space="preserve">Consigne vs réalité </w:t>
      </w:r>
    </w:p>
    <w:p w14:paraId="17DEE9C5" w14:textId="43AE9765" w:rsidR="3735ACF4" w:rsidRDefault="3735ACF4" w:rsidP="13C70224">
      <w:pPr>
        <w:pStyle w:val="Titre4"/>
        <w:spacing w:line="276" w:lineRule="auto"/>
        <w:jc w:val="both"/>
        <w:rPr>
          <w:rFonts w:eastAsia="Arial" w:cs="Arial"/>
        </w:rPr>
      </w:pPr>
      <w:r w:rsidRPr="13C70224">
        <w:rPr>
          <w:rFonts w:eastAsia="Arial" w:cs="Arial"/>
        </w:rPr>
        <w:t>Veris MSP3</w:t>
      </w:r>
    </w:p>
    <w:p w14:paraId="373872B9" w14:textId="7D82D1A9" w:rsidR="3735ACF4" w:rsidRDefault="3735ACF4" w:rsidP="13C70224">
      <w:pPr>
        <w:pStyle w:val="Titre5"/>
        <w:spacing w:line="276" w:lineRule="auto"/>
        <w:jc w:val="both"/>
        <w:rPr>
          <w:rFonts w:eastAsia="Arial" w:cs="Arial"/>
        </w:rPr>
      </w:pPr>
      <w:r w:rsidRPr="13C70224">
        <w:rPr>
          <w:rFonts w:eastAsia="Arial" w:cs="Arial"/>
        </w:rPr>
        <w:t>Mise en place des modulations</w:t>
      </w:r>
    </w:p>
    <w:p w14:paraId="277EB79A" w14:textId="4E4C3CE2" w:rsidR="3735ACF4" w:rsidRDefault="3735ACF4" w:rsidP="13C70224">
      <w:pPr>
        <w:spacing w:line="276" w:lineRule="auto"/>
        <w:jc w:val="both"/>
        <w:rPr>
          <w:rFonts w:eastAsia="Arial" w:cs="Arial"/>
        </w:rPr>
      </w:pPr>
      <w:r w:rsidRPr="13C70224">
        <w:rPr>
          <w:rFonts w:eastAsia="Arial" w:cs="Arial"/>
        </w:rPr>
        <w:t xml:space="preserve">Six épandages de matière organique avec modulation ont été réalisé au cours du projet sur les parcelles </w:t>
      </w:r>
      <w:proofErr w:type="spellStart"/>
      <w:r w:rsidRPr="13C70224">
        <w:rPr>
          <w:rFonts w:eastAsia="Arial" w:cs="Arial"/>
        </w:rPr>
        <w:t>Pivot_Bois</w:t>
      </w:r>
      <w:proofErr w:type="spellEnd"/>
      <w:r w:rsidRPr="13C70224">
        <w:rPr>
          <w:rFonts w:eastAsia="Arial" w:cs="Arial"/>
        </w:rPr>
        <w:t xml:space="preserve">, </w:t>
      </w:r>
      <w:proofErr w:type="spellStart"/>
      <w:r w:rsidRPr="13C70224">
        <w:rPr>
          <w:rFonts w:eastAsia="Arial" w:cs="Arial"/>
        </w:rPr>
        <w:t>Pivot_Pont</w:t>
      </w:r>
      <w:proofErr w:type="spellEnd"/>
      <w:r w:rsidRPr="13C70224">
        <w:rPr>
          <w:rFonts w:eastAsia="Arial" w:cs="Arial"/>
        </w:rPr>
        <w:t xml:space="preserve"> et </w:t>
      </w:r>
      <w:proofErr w:type="spellStart"/>
      <w:r w:rsidRPr="13C70224">
        <w:rPr>
          <w:rFonts w:eastAsia="Arial" w:cs="Arial"/>
        </w:rPr>
        <w:t>GrdSeumoy_D</w:t>
      </w:r>
      <w:proofErr w:type="spellEnd"/>
      <w:r w:rsidRPr="13C70224">
        <w:rPr>
          <w:rFonts w:eastAsia="Arial" w:cs="Arial"/>
        </w:rPr>
        <w:t xml:space="preserve"> pour la saison 2024 et sur </w:t>
      </w:r>
      <w:proofErr w:type="spellStart"/>
      <w:r w:rsidRPr="13C70224">
        <w:rPr>
          <w:rFonts w:eastAsia="Arial" w:cs="Arial"/>
        </w:rPr>
        <w:t>Pivot_Bois</w:t>
      </w:r>
      <w:proofErr w:type="spellEnd"/>
      <w:r w:rsidRPr="13C70224">
        <w:rPr>
          <w:rFonts w:eastAsia="Arial" w:cs="Arial"/>
        </w:rPr>
        <w:t xml:space="preserve">, </w:t>
      </w:r>
      <w:proofErr w:type="spellStart"/>
      <w:r w:rsidRPr="13C70224">
        <w:rPr>
          <w:rFonts w:eastAsia="Arial" w:cs="Arial"/>
        </w:rPr>
        <w:t>ThAuto</w:t>
      </w:r>
      <w:proofErr w:type="spellEnd"/>
      <w:r w:rsidRPr="13C70224">
        <w:rPr>
          <w:rFonts w:eastAsia="Arial" w:cs="Arial"/>
        </w:rPr>
        <w:t xml:space="preserve"> et </w:t>
      </w:r>
      <w:proofErr w:type="spellStart"/>
      <w:r w:rsidRPr="13C70224">
        <w:rPr>
          <w:rFonts w:eastAsia="Arial" w:cs="Arial"/>
        </w:rPr>
        <w:t>GrdSeumoy_G</w:t>
      </w:r>
      <w:proofErr w:type="spellEnd"/>
      <w:r w:rsidRPr="13C70224">
        <w:rPr>
          <w:rFonts w:eastAsia="Arial" w:cs="Arial"/>
        </w:rPr>
        <w:t xml:space="preserve"> pour la saison 2025.  </w:t>
      </w:r>
    </w:p>
    <w:p w14:paraId="1C618E7F" w14:textId="78ADFE11" w:rsidR="3735ACF4" w:rsidRDefault="301CA6B2" w:rsidP="13C70224">
      <w:pPr>
        <w:spacing w:line="276" w:lineRule="auto"/>
        <w:jc w:val="both"/>
        <w:rPr>
          <w:rFonts w:eastAsia="Arial" w:cs="Arial"/>
        </w:rPr>
      </w:pPr>
      <w:r w:rsidRPr="13C70224">
        <w:rPr>
          <w:rFonts w:eastAsia="Arial" w:cs="Arial"/>
        </w:rPr>
        <w:t xml:space="preserve">Pour vérifier la qualité du travail réalisé et évaluer dans quelle mesure les cartes de prescription ont été respectées, des vols de drone ont été effectués après l’épandage de la matière organique. Les images aériennes acquises lors de ces survols sont présentées dans la </w:t>
      </w:r>
      <w:r w:rsidR="3D59D384" w:rsidRPr="13C70224">
        <w:rPr>
          <w:rFonts w:eastAsia="Arial" w:cs="Arial"/>
        </w:rPr>
        <w:t xml:space="preserve">figure </w:t>
      </w:r>
      <w:r w:rsidR="29E5D616" w:rsidRPr="13C70224">
        <w:rPr>
          <w:rFonts w:eastAsia="Arial" w:cs="Arial"/>
        </w:rPr>
        <w:t>24</w:t>
      </w:r>
      <w:r w:rsidR="3D59D384" w:rsidRPr="13C70224">
        <w:rPr>
          <w:rFonts w:eastAsia="Arial" w:cs="Arial"/>
        </w:rPr>
        <w:t>.</w:t>
      </w:r>
    </w:p>
    <w:p w14:paraId="0A92B126" w14:textId="77777777" w:rsidR="3735ACF4" w:rsidRDefault="3735ACF4" w:rsidP="39F73C8B">
      <w:pPr>
        <w:keepNext/>
        <w:spacing w:line="276" w:lineRule="auto"/>
        <w:jc w:val="center"/>
        <w:rPr>
          <w:rFonts w:eastAsia="Arial" w:cs="Arial"/>
        </w:rPr>
      </w:pPr>
      <w:r>
        <w:rPr>
          <w:noProof/>
        </w:rPr>
        <w:lastRenderedPageBreak/>
        <w:drawing>
          <wp:inline distT="0" distB="0" distL="0" distR="0" wp14:anchorId="2F678394" wp14:editId="121E1DBF">
            <wp:extent cx="3886200" cy="5724525"/>
            <wp:effectExtent l="0" t="0" r="0" b="9525"/>
            <wp:docPr id="6053567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317165" name=""/>
                    <pic:cNvPicPr/>
                  </pic:nvPicPr>
                  <pic:blipFill>
                    <a:blip r:embed="rId37" cstate="screen">
                      <a:extLst>
                        <a:ext uri="{28A0092B-C50C-407E-A947-70E740481C1C}">
                          <a14:useLocalDpi xmlns:a14="http://schemas.microsoft.com/office/drawing/2010/main"/>
                        </a:ext>
                      </a:extLst>
                    </a:blip>
                    <a:stretch>
                      <a:fillRect/>
                    </a:stretch>
                  </pic:blipFill>
                  <pic:spPr>
                    <a:xfrm>
                      <a:off x="0" y="0"/>
                      <a:ext cx="3886200" cy="5724525"/>
                    </a:xfrm>
                    <a:prstGeom prst="rect">
                      <a:avLst/>
                    </a:prstGeom>
                  </pic:spPr>
                </pic:pic>
              </a:graphicData>
            </a:graphic>
          </wp:inline>
        </w:drawing>
      </w:r>
    </w:p>
    <w:p w14:paraId="73BCEA96" w14:textId="3167BBE1" w:rsidR="3735ACF4" w:rsidRDefault="301CA6B2" w:rsidP="13C70224">
      <w:pPr>
        <w:pStyle w:val="Lgende"/>
        <w:spacing w:line="276" w:lineRule="auto"/>
        <w:jc w:val="both"/>
        <w:rPr>
          <w:rFonts w:eastAsia="Arial" w:cs="Arial"/>
        </w:rPr>
      </w:pPr>
      <w:r w:rsidRPr="3BFF6491">
        <w:rPr>
          <w:rFonts w:eastAsia="Arial" w:cs="Arial"/>
        </w:rPr>
        <w:t xml:space="preserve">Figure </w:t>
      </w:r>
      <w:r w:rsidR="6EFA8911" w:rsidRPr="3BFF6491">
        <w:rPr>
          <w:rFonts w:eastAsia="Arial" w:cs="Arial"/>
        </w:rPr>
        <w:t>24</w:t>
      </w:r>
      <w:r w:rsidRPr="3BFF6491">
        <w:rPr>
          <w:rFonts w:eastAsia="Arial" w:cs="Arial"/>
        </w:rPr>
        <w:t>. Images aériennes des parcelles acquises après épandage de matière organique. Les zones ciblées pour épandage sont symbolisées par des polygones en pointillés. Une maille de 100 m × 100 m (soit 1 ha) est représentée sur la carte.</w:t>
      </w:r>
    </w:p>
    <w:p w14:paraId="26EF1F3E" w14:textId="40757C1B" w:rsidR="1BDD9486" w:rsidRDefault="1BDD9486" w:rsidP="13C70224">
      <w:pPr>
        <w:spacing w:line="276" w:lineRule="auto"/>
        <w:jc w:val="both"/>
        <w:rPr>
          <w:rFonts w:eastAsia="Arial" w:cs="Arial"/>
          <w:highlight w:val="yellow"/>
        </w:rPr>
      </w:pPr>
    </w:p>
    <w:p w14:paraId="6D963913" w14:textId="703FA517" w:rsidR="3735ACF4" w:rsidRDefault="3735ACF4" w:rsidP="13C70224">
      <w:pPr>
        <w:spacing w:line="276" w:lineRule="auto"/>
        <w:jc w:val="both"/>
        <w:rPr>
          <w:rFonts w:eastAsia="Arial" w:cs="Arial"/>
        </w:rPr>
      </w:pPr>
      <w:r w:rsidRPr="13C70224">
        <w:rPr>
          <w:rFonts w:eastAsia="Arial" w:cs="Arial"/>
        </w:rPr>
        <w:t>Les images montrent que les zones ciblées par les cartes de prescription de matière organique ont été simplifiées lors de l’application des doses modulées. Néanmoins, les zones ciblées durant l’épandage de matière organique ont globalement été respectées, au regard de la méthode employée pour la mise en œuvre des modulations. En effet, la modulation était de type on/off sans utiliser de matériel spécialisé, et les zones à traiter étaient matérialisées directement sur le terrain par la mise en place de jalons. De plus, les conducteurs chargés de réaliser l’épandage disposaient également des cartes de prescription sur leurs téléphones, afin de les guider lors des interventions.</w:t>
      </w:r>
    </w:p>
    <w:p w14:paraId="2D423FA4" w14:textId="1094C625" w:rsidR="1BDD9486" w:rsidRDefault="1BDD9486" w:rsidP="13C70224">
      <w:pPr>
        <w:spacing w:line="276" w:lineRule="auto"/>
        <w:jc w:val="both"/>
        <w:rPr>
          <w:rFonts w:eastAsia="Arial" w:cs="Arial"/>
        </w:rPr>
      </w:pPr>
    </w:p>
    <w:p w14:paraId="4DCEBFD2" w14:textId="5C4A2DC6" w:rsidR="3735ACF4" w:rsidRDefault="3735ACF4" w:rsidP="13C70224">
      <w:pPr>
        <w:pStyle w:val="Titre5"/>
        <w:spacing w:line="276" w:lineRule="auto"/>
        <w:jc w:val="both"/>
        <w:rPr>
          <w:rFonts w:eastAsia="Arial" w:cs="Arial"/>
        </w:rPr>
      </w:pPr>
      <w:r w:rsidRPr="13C70224">
        <w:rPr>
          <w:rFonts w:eastAsia="Arial" w:cs="Arial"/>
        </w:rPr>
        <w:t>Evolution observée du carbone organique</w:t>
      </w:r>
    </w:p>
    <w:p w14:paraId="643EEB5C" w14:textId="0EB3B9DF" w:rsidR="3735ACF4" w:rsidRDefault="301CA6B2" w:rsidP="13C70224">
      <w:pPr>
        <w:spacing w:line="276" w:lineRule="auto"/>
        <w:jc w:val="both"/>
        <w:rPr>
          <w:rFonts w:eastAsia="Arial" w:cs="Arial"/>
        </w:rPr>
      </w:pPr>
      <w:r w:rsidRPr="13C70224">
        <w:rPr>
          <w:rFonts w:eastAsia="Arial" w:cs="Arial"/>
        </w:rPr>
        <w:t xml:space="preserve">L’effet des modulations de la dose a aussi pu être testé en comparant les analyses de sol réalisées avant et après modulation en se concentrant sur deux paramètres du sol : le carbone organique et le </w:t>
      </w:r>
      <w:r w:rsidRPr="13C70224">
        <w:rPr>
          <w:rFonts w:eastAsia="Arial" w:cs="Arial"/>
        </w:rPr>
        <w:lastRenderedPageBreak/>
        <w:t xml:space="preserve">ratio C/argile. Tout d’abord le grain et la perte du carbone organique a été étudié sur quatre parcelles ou des modulations de matière organique ont été réalisées </w:t>
      </w:r>
      <w:r w:rsidR="24364589" w:rsidRPr="13C70224">
        <w:rPr>
          <w:rFonts w:eastAsia="Arial" w:cs="Arial"/>
        </w:rPr>
        <w:t xml:space="preserve">(figure </w:t>
      </w:r>
      <w:r w:rsidR="09DE2730" w:rsidRPr="13C70224">
        <w:rPr>
          <w:rFonts w:eastAsia="Arial" w:cs="Arial"/>
        </w:rPr>
        <w:t>25</w:t>
      </w:r>
      <w:r w:rsidR="24364589" w:rsidRPr="13C70224">
        <w:rPr>
          <w:rFonts w:eastAsia="Arial" w:cs="Arial"/>
        </w:rPr>
        <w:t>)</w:t>
      </w:r>
      <w:r w:rsidRPr="13C70224">
        <w:rPr>
          <w:rFonts w:eastAsia="Arial" w:cs="Arial"/>
        </w:rPr>
        <w:t>.</w:t>
      </w:r>
    </w:p>
    <w:p w14:paraId="0E17984E" w14:textId="77777777" w:rsidR="3735ACF4" w:rsidRDefault="3735ACF4" w:rsidP="0FF8C3A4">
      <w:pPr>
        <w:keepNext/>
        <w:spacing w:line="276" w:lineRule="auto"/>
        <w:jc w:val="center"/>
        <w:rPr>
          <w:rFonts w:eastAsia="Arial" w:cs="Arial"/>
        </w:rPr>
      </w:pPr>
      <w:r>
        <w:rPr>
          <w:noProof/>
        </w:rPr>
        <w:drawing>
          <wp:inline distT="0" distB="0" distL="0" distR="0" wp14:anchorId="2271BF2F" wp14:editId="321A2E17">
            <wp:extent cx="4677885" cy="5398000"/>
            <wp:effectExtent l="0" t="0" r="8890" b="0"/>
            <wp:docPr id="1781909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09728" name=""/>
                    <pic:cNvPicPr/>
                  </pic:nvPicPr>
                  <pic:blipFill>
                    <a:blip r:embed="rId38" cstate="screen">
                      <a:extLst>
                        <a:ext uri="{28A0092B-C50C-407E-A947-70E740481C1C}">
                          <a14:useLocalDpi xmlns:a14="http://schemas.microsoft.com/office/drawing/2010/main"/>
                        </a:ext>
                      </a:extLst>
                    </a:blip>
                    <a:stretch>
                      <a:fillRect/>
                    </a:stretch>
                  </pic:blipFill>
                  <pic:spPr>
                    <a:xfrm>
                      <a:off x="0" y="0"/>
                      <a:ext cx="4677885" cy="5398000"/>
                    </a:xfrm>
                    <a:prstGeom prst="rect">
                      <a:avLst/>
                    </a:prstGeom>
                  </pic:spPr>
                </pic:pic>
              </a:graphicData>
            </a:graphic>
          </wp:inline>
        </w:drawing>
      </w:r>
    </w:p>
    <w:p w14:paraId="0BC2B3E5" w14:textId="2B926925" w:rsidR="3735ACF4" w:rsidRDefault="301CA6B2" w:rsidP="13C70224">
      <w:pPr>
        <w:pStyle w:val="Lgende"/>
        <w:spacing w:line="276" w:lineRule="auto"/>
        <w:jc w:val="both"/>
        <w:rPr>
          <w:rFonts w:eastAsia="Arial" w:cs="Arial"/>
          <w:highlight w:val="yellow"/>
        </w:rPr>
      </w:pPr>
      <w:r w:rsidRPr="3BFF6491">
        <w:rPr>
          <w:rFonts w:eastAsia="Arial" w:cs="Arial"/>
        </w:rPr>
        <w:t xml:space="preserve">Figure </w:t>
      </w:r>
      <w:r w:rsidR="495F593B" w:rsidRPr="3BFF6491">
        <w:rPr>
          <w:rFonts w:eastAsia="Arial" w:cs="Arial"/>
        </w:rPr>
        <w:t>25</w:t>
      </w:r>
      <w:r w:rsidRPr="3BFF6491">
        <w:rPr>
          <w:rFonts w:eastAsia="Arial" w:cs="Arial"/>
        </w:rPr>
        <w:t>. Distribution de la différence en carbone organique (%) du sol avant et après modulation. La différence en carbone organique a été calculée à partir des analyses de sol réalisées par le laboratoire BW en février 2024 et en octobre 2025. Les distributions ont été établies séparément pour les zones défavorables (ratio C/argile &lt; 6) et pour les zones plus favorables (ratio C/argile &gt; 6), telles que définies par les cartes de prescription utilisées pour la modulation de matière organique. Le pourcentage de perte/gain moyen en carbone organique est indiqué au sommet de chaque boîte à moustache.</w:t>
      </w:r>
    </w:p>
    <w:p w14:paraId="31B3F112" w14:textId="437CA8EE" w:rsidR="3735ACF4" w:rsidRDefault="301CA6B2" w:rsidP="13C70224">
      <w:pPr>
        <w:spacing w:line="276" w:lineRule="auto"/>
        <w:jc w:val="both"/>
        <w:rPr>
          <w:rFonts w:eastAsia="Arial" w:cs="Arial"/>
        </w:rPr>
      </w:pPr>
      <w:r w:rsidRPr="13C70224">
        <w:rPr>
          <w:rFonts w:eastAsia="Arial" w:cs="Arial"/>
        </w:rPr>
        <w:t>Pour interpréter ces résultats, il faut bien intégrer les calendriers et le types d’épandages réalisées sur ces parcelles (</w:t>
      </w:r>
      <w:r w:rsidR="010F47E3" w:rsidRPr="13C70224">
        <w:rPr>
          <w:rFonts w:eastAsia="Arial" w:cs="Arial"/>
        </w:rPr>
        <w:t>figure 26</w:t>
      </w:r>
      <w:r w:rsidRPr="13C70224">
        <w:rPr>
          <w:rFonts w:eastAsia="Arial" w:cs="Arial"/>
        </w:rPr>
        <w:t xml:space="preserve">). </w:t>
      </w:r>
    </w:p>
    <w:p w14:paraId="4E620D42" w14:textId="30A12792" w:rsidR="1BDD9486" w:rsidRDefault="1BDD9486" w:rsidP="13C70224">
      <w:pPr>
        <w:spacing w:line="276" w:lineRule="auto"/>
        <w:jc w:val="both"/>
        <w:rPr>
          <w:rFonts w:eastAsia="Arial" w:cs="Arial"/>
        </w:rPr>
      </w:pPr>
    </w:p>
    <w:p w14:paraId="27BB7A6E" w14:textId="77777777" w:rsidR="3735ACF4" w:rsidRDefault="3735ACF4" w:rsidP="13C70224">
      <w:pPr>
        <w:keepNext/>
        <w:spacing w:line="276" w:lineRule="auto"/>
        <w:jc w:val="both"/>
        <w:rPr>
          <w:rFonts w:eastAsia="Arial" w:cs="Arial"/>
        </w:rPr>
      </w:pPr>
      <w:r>
        <w:rPr>
          <w:noProof/>
        </w:rPr>
        <w:lastRenderedPageBreak/>
        <w:drawing>
          <wp:inline distT="0" distB="0" distL="0" distR="0" wp14:anchorId="5D5B1F58" wp14:editId="553F8731">
            <wp:extent cx="5724525" cy="1704975"/>
            <wp:effectExtent l="0" t="0" r="9525" b="9525"/>
            <wp:docPr id="39812796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234491" name=""/>
                    <pic:cNvPicPr/>
                  </pic:nvPicPr>
                  <pic:blipFill>
                    <a:blip r:embed="rId39" cstate="screen">
                      <a:extLst>
                        <a:ext uri="{28A0092B-C50C-407E-A947-70E740481C1C}">
                          <a14:useLocalDpi xmlns:a14="http://schemas.microsoft.com/office/drawing/2010/main"/>
                        </a:ext>
                      </a:extLst>
                    </a:blip>
                    <a:stretch>
                      <a:fillRect/>
                    </a:stretch>
                  </pic:blipFill>
                  <pic:spPr>
                    <a:xfrm>
                      <a:off x="0" y="0"/>
                      <a:ext cx="5724525" cy="1704975"/>
                    </a:xfrm>
                    <a:prstGeom prst="rect">
                      <a:avLst/>
                    </a:prstGeom>
                  </pic:spPr>
                </pic:pic>
              </a:graphicData>
            </a:graphic>
          </wp:inline>
        </w:drawing>
      </w:r>
    </w:p>
    <w:p w14:paraId="491D23B6" w14:textId="73F06F3B" w:rsidR="3735ACF4" w:rsidRDefault="301CA6B2" w:rsidP="13C70224">
      <w:pPr>
        <w:pStyle w:val="Lgende"/>
        <w:spacing w:line="276" w:lineRule="auto"/>
        <w:jc w:val="both"/>
        <w:rPr>
          <w:rFonts w:eastAsia="Arial" w:cs="Arial"/>
        </w:rPr>
      </w:pPr>
      <w:r w:rsidRPr="3BFF6491">
        <w:rPr>
          <w:rFonts w:eastAsia="Arial" w:cs="Arial"/>
        </w:rPr>
        <w:t xml:space="preserve">Figure </w:t>
      </w:r>
      <w:r w:rsidR="1B0D4D0B" w:rsidRPr="3BFF6491">
        <w:rPr>
          <w:rFonts w:eastAsia="Arial" w:cs="Arial"/>
        </w:rPr>
        <w:t>26</w:t>
      </w:r>
      <w:r w:rsidRPr="3BFF6491">
        <w:rPr>
          <w:rFonts w:eastAsia="Arial" w:cs="Arial"/>
        </w:rPr>
        <w:t>. Calendrier et type de modulation réalisé sur 4 parcelles du projet.</w:t>
      </w:r>
    </w:p>
    <w:p w14:paraId="43DA8BE9" w14:textId="4BFC15AD" w:rsidR="3735ACF4" w:rsidRDefault="3735ACF4" w:rsidP="13C70224">
      <w:pPr>
        <w:spacing w:line="276" w:lineRule="auto"/>
        <w:jc w:val="both"/>
        <w:rPr>
          <w:rFonts w:eastAsia="Arial" w:cs="Arial"/>
        </w:rPr>
      </w:pPr>
      <w:r w:rsidRPr="13C70224">
        <w:rPr>
          <w:rFonts w:eastAsia="Arial" w:cs="Arial"/>
        </w:rPr>
        <w:t>Lors de la deuxième campagne d’analyses de sol, les parcelles se trouvent en année 1 ou année 2 de rotation pour la saison 2026.</w:t>
      </w:r>
    </w:p>
    <w:p w14:paraId="37212057" w14:textId="356B37BB" w:rsidR="1BDD9486" w:rsidRDefault="1BDD9486" w:rsidP="13C70224">
      <w:pPr>
        <w:spacing w:line="276" w:lineRule="auto"/>
        <w:jc w:val="both"/>
        <w:rPr>
          <w:rFonts w:eastAsia="Arial" w:cs="Arial"/>
        </w:rPr>
      </w:pPr>
    </w:p>
    <w:p w14:paraId="7E98CB14" w14:textId="5E7801F6" w:rsidR="3735ACF4" w:rsidRDefault="3735ACF4" w:rsidP="13C70224">
      <w:pPr>
        <w:spacing w:line="276" w:lineRule="auto"/>
        <w:jc w:val="both"/>
        <w:rPr>
          <w:rFonts w:eastAsia="Arial" w:cs="Arial"/>
          <w:b/>
          <w:bCs/>
        </w:rPr>
      </w:pPr>
      <w:r w:rsidRPr="13C70224">
        <w:rPr>
          <w:rFonts w:eastAsia="Arial" w:cs="Arial"/>
          <w:b/>
          <w:bCs/>
        </w:rPr>
        <w:t xml:space="preserve">Parcelle </w:t>
      </w:r>
      <w:proofErr w:type="spellStart"/>
      <w:r w:rsidRPr="13C70224">
        <w:rPr>
          <w:rFonts w:eastAsia="Arial" w:cs="Arial"/>
          <w:b/>
          <w:bCs/>
        </w:rPr>
        <w:t>Pivot_Bois</w:t>
      </w:r>
      <w:proofErr w:type="spellEnd"/>
      <w:r w:rsidRPr="13C70224">
        <w:rPr>
          <w:rFonts w:eastAsia="Arial" w:cs="Arial"/>
          <w:b/>
          <w:bCs/>
        </w:rPr>
        <w:t xml:space="preserve"> (rotation année 1)</w:t>
      </w:r>
    </w:p>
    <w:p w14:paraId="5FA666D9" w14:textId="4FDA0A33" w:rsidR="3735ACF4" w:rsidRDefault="3735ACF4" w:rsidP="13C70224">
      <w:pPr>
        <w:spacing w:line="276" w:lineRule="auto"/>
        <w:jc w:val="both"/>
        <w:rPr>
          <w:rFonts w:eastAsia="Arial" w:cs="Arial"/>
        </w:rPr>
      </w:pPr>
      <w:r w:rsidRPr="13C70224">
        <w:rPr>
          <w:rFonts w:eastAsia="Arial" w:cs="Arial"/>
        </w:rPr>
        <w:t>Entre les deux campagnes d’analyses de sol, deux apports modulés de matière organique ont été réalisés. Les modulations étaient de type on/off, avec des apports uniquement sur les zones les plus défavorables (C/argile &lt; 6). Dans ces zones, le carbone organique augmente de +0,08 % en moyenne. À l’inverse, les zones favorables (sans apport) montrent une légère perte de carbone organique : –0,01 %. Ces résultats montrent clairement que la différence d’apport influence l’évolution du carbone organique à très court terme.</w:t>
      </w:r>
    </w:p>
    <w:p w14:paraId="2A756688" w14:textId="03924330" w:rsidR="1BDD9486" w:rsidRDefault="1BDD9486" w:rsidP="13C70224">
      <w:pPr>
        <w:spacing w:line="276" w:lineRule="auto"/>
        <w:jc w:val="both"/>
        <w:rPr>
          <w:rFonts w:eastAsia="Arial" w:cs="Arial"/>
        </w:rPr>
      </w:pPr>
    </w:p>
    <w:p w14:paraId="2FD14AA4" w14:textId="34743F03" w:rsidR="3735ACF4" w:rsidRDefault="3735ACF4" w:rsidP="13C70224">
      <w:pPr>
        <w:spacing w:line="276" w:lineRule="auto"/>
        <w:jc w:val="both"/>
        <w:rPr>
          <w:rFonts w:eastAsia="Arial" w:cs="Arial"/>
          <w:b/>
          <w:bCs/>
        </w:rPr>
      </w:pPr>
      <w:r w:rsidRPr="13C70224">
        <w:rPr>
          <w:rFonts w:eastAsia="Arial" w:cs="Arial"/>
          <w:b/>
          <w:bCs/>
        </w:rPr>
        <w:t xml:space="preserve">Parcelle </w:t>
      </w:r>
      <w:proofErr w:type="spellStart"/>
      <w:r w:rsidRPr="13C70224">
        <w:rPr>
          <w:rFonts w:eastAsia="Arial" w:cs="Arial"/>
          <w:b/>
          <w:bCs/>
        </w:rPr>
        <w:t>ThAuto</w:t>
      </w:r>
      <w:proofErr w:type="spellEnd"/>
      <w:r w:rsidRPr="13C70224">
        <w:rPr>
          <w:rFonts w:eastAsia="Arial" w:cs="Arial"/>
          <w:b/>
          <w:bCs/>
        </w:rPr>
        <w:t xml:space="preserve"> (rotation année 1)</w:t>
      </w:r>
    </w:p>
    <w:p w14:paraId="784C15D1" w14:textId="142056A4" w:rsidR="3735ACF4" w:rsidRDefault="3735ACF4" w:rsidP="13C70224">
      <w:pPr>
        <w:spacing w:line="276" w:lineRule="auto"/>
        <w:jc w:val="both"/>
        <w:rPr>
          <w:rFonts w:eastAsia="Arial" w:cs="Arial"/>
        </w:rPr>
      </w:pPr>
      <w:r w:rsidRPr="13C70224">
        <w:rPr>
          <w:rFonts w:eastAsia="Arial" w:cs="Arial"/>
        </w:rPr>
        <w:t>Deux apports ont également eu lieu entre 2024 et 2025. En 2024, une dose uniforme a été appliquée sur l’ensemble de la parcelle. En 2025, une dose uniforme a de nouveau été appliquée, complétée par un double apport dans les zones défavorables. Toutes les zones ont donc reçu de la matière organique, mais en quantité variable. Le carbone organique progresse de +0,12 % en zones défavorables et de +0,06 % en zones favorables. L’évolution est globalement positive sur toute la parcelle, bien que des différences entre zones favorables et défavorables persistent.</w:t>
      </w:r>
    </w:p>
    <w:p w14:paraId="05D5E2EF" w14:textId="39BCDB9C" w:rsidR="1BDD9486" w:rsidRDefault="1BDD9486" w:rsidP="13C70224">
      <w:pPr>
        <w:spacing w:line="276" w:lineRule="auto"/>
        <w:jc w:val="both"/>
        <w:rPr>
          <w:rFonts w:eastAsia="Arial" w:cs="Arial"/>
        </w:rPr>
      </w:pPr>
    </w:p>
    <w:p w14:paraId="0AF4504C" w14:textId="667E6ACE" w:rsidR="3735ACF4" w:rsidRDefault="3735ACF4" w:rsidP="13C70224">
      <w:pPr>
        <w:spacing w:line="276" w:lineRule="auto"/>
        <w:jc w:val="both"/>
        <w:rPr>
          <w:rFonts w:eastAsia="Arial" w:cs="Arial"/>
          <w:b/>
          <w:bCs/>
        </w:rPr>
      </w:pPr>
      <w:r w:rsidRPr="13C70224">
        <w:rPr>
          <w:rFonts w:eastAsia="Arial" w:cs="Arial"/>
          <w:b/>
          <w:bCs/>
        </w:rPr>
        <w:t xml:space="preserve">Parcelle </w:t>
      </w:r>
      <w:proofErr w:type="spellStart"/>
      <w:r w:rsidRPr="13C70224">
        <w:rPr>
          <w:rFonts w:eastAsia="Arial" w:cs="Arial"/>
          <w:b/>
          <w:bCs/>
        </w:rPr>
        <w:t>Pivot_Pont</w:t>
      </w:r>
      <w:proofErr w:type="spellEnd"/>
      <w:r w:rsidRPr="13C70224">
        <w:rPr>
          <w:rFonts w:eastAsia="Arial" w:cs="Arial"/>
          <w:b/>
          <w:bCs/>
        </w:rPr>
        <w:t xml:space="preserve"> (rotation année 2)</w:t>
      </w:r>
    </w:p>
    <w:p w14:paraId="5B90276B" w14:textId="585EB1E2" w:rsidR="3735ACF4" w:rsidRDefault="3735ACF4" w:rsidP="13C70224">
      <w:pPr>
        <w:spacing w:line="276" w:lineRule="auto"/>
        <w:jc w:val="both"/>
        <w:rPr>
          <w:rFonts w:eastAsia="Arial" w:cs="Arial"/>
        </w:rPr>
      </w:pPr>
      <w:r w:rsidRPr="13C70224">
        <w:rPr>
          <w:rFonts w:eastAsia="Arial" w:cs="Arial"/>
        </w:rPr>
        <w:t>Un seul apport modulé a été réalisé en 2024, sans apport en 2025. Les gains observés en carbone organique sont ici plus modestes : il augmente légèrement, entre +0,02 % et +0,03 %. L’absence d’apport en 2025 explique probablement ce gain plus limité. Aucune différence notable entre zones défavorables et favorables n’a été observée.</w:t>
      </w:r>
    </w:p>
    <w:p w14:paraId="6D227CA1" w14:textId="3DBE8FAC" w:rsidR="3735ACF4" w:rsidRDefault="3735ACF4" w:rsidP="13C70224">
      <w:pPr>
        <w:spacing w:line="276" w:lineRule="auto"/>
        <w:jc w:val="both"/>
        <w:rPr>
          <w:rFonts w:eastAsia="Arial" w:cs="Arial"/>
          <w:b/>
          <w:bCs/>
        </w:rPr>
      </w:pPr>
      <w:r w:rsidRPr="13C70224">
        <w:rPr>
          <w:rFonts w:eastAsia="Arial" w:cs="Arial"/>
          <w:b/>
          <w:bCs/>
        </w:rPr>
        <w:t xml:space="preserve">Parcelle </w:t>
      </w:r>
      <w:proofErr w:type="spellStart"/>
      <w:r w:rsidRPr="13C70224">
        <w:rPr>
          <w:rFonts w:eastAsia="Arial" w:cs="Arial"/>
          <w:b/>
          <w:bCs/>
        </w:rPr>
        <w:t>GrdSeumoy_D</w:t>
      </w:r>
      <w:proofErr w:type="spellEnd"/>
      <w:r w:rsidRPr="13C70224">
        <w:rPr>
          <w:rFonts w:eastAsia="Arial" w:cs="Arial"/>
          <w:b/>
          <w:bCs/>
        </w:rPr>
        <w:t xml:space="preserve"> (rotation année 2)</w:t>
      </w:r>
    </w:p>
    <w:p w14:paraId="30477CD6" w14:textId="551F79EA" w:rsidR="3735ACF4" w:rsidRDefault="3735ACF4" w:rsidP="13C70224">
      <w:pPr>
        <w:spacing w:line="276" w:lineRule="auto"/>
        <w:jc w:val="both"/>
        <w:rPr>
          <w:rFonts w:eastAsia="Arial" w:cs="Arial"/>
        </w:rPr>
      </w:pPr>
      <w:r w:rsidRPr="13C70224">
        <w:rPr>
          <w:rFonts w:eastAsia="Arial" w:cs="Arial"/>
        </w:rPr>
        <w:t xml:space="preserve">Comme pour </w:t>
      </w:r>
      <w:proofErr w:type="spellStart"/>
      <w:r w:rsidRPr="13C70224">
        <w:rPr>
          <w:rFonts w:eastAsia="Arial" w:cs="Arial"/>
        </w:rPr>
        <w:t>Pivot_Pont</w:t>
      </w:r>
      <w:proofErr w:type="spellEnd"/>
      <w:r w:rsidRPr="13C70224">
        <w:rPr>
          <w:rFonts w:eastAsia="Arial" w:cs="Arial"/>
        </w:rPr>
        <w:t>, un seul apport modulé a été réalisé en 2024 et aucun en 2025. Dans ce cas, le carbone organique diminue entre -0,06 % et -0,09 % entre les deux campagnes d’analyse. Les pertes de carbone organique sont légèrement plus importantes dans les zones favorables (sans apport).</w:t>
      </w:r>
    </w:p>
    <w:p w14:paraId="2786F13E" w14:textId="1F366AF8" w:rsidR="1BDD9486" w:rsidRDefault="1BDD9486" w:rsidP="13C70224">
      <w:pPr>
        <w:spacing w:line="276" w:lineRule="auto"/>
        <w:jc w:val="both"/>
        <w:rPr>
          <w:rFonts w:eastAsia="Arial" w:cs="Arial"/>
        </w:rPr>
      </w:pPr>
    </w:p>
    <w:p w14:paraId="249FA201" w14:textId="0F06CD02" w:rsidR="3735ACF4" w:rsidRDefault="3735ACF4" w:rsidP="13C70224">
      <w:pPr>
        <w:spacing w:line="276" w:lineRule="auto"/>
        <w:jc w:val="both"/>
        <w:rPr>
          <w:rFonts w:eastAsia="Arial" w:cs="Arial"/>
        </w:rPr>
      </w:pPr>
      <w:r w:rsidRPr="13C70224">
        <w:rPr>
          <w:rFonts w:eastAsia="Arial" w:cs="Arial"/>
        </w:rPr>
        <w:t xml:space="preserve">La nature de la matière organique épandue lors de la saison 2024 pourrait expliquer les différences observées entre </w:t>
      </w:r>
      <w:proofErr w:type="spellStart"/>
      <w:r w:rsidRPr="13C70224">
        <w:rPr>
          <w:rFonts w:eastAsia="Arial" w:cs="Arial"/>
        </w:rPr>
        <w:t>Pivot_Pont</w:t>
      </w:r>
      <w:proofErr w:type="spellEnd"/>
      <w:r w:rsidRPr="13C70224">
        <w:rPr>
          <w:rFonts w:eastAsia="Arial" w:cs="Arial"/>
        </w:rPr>
        <w:t xml:space="preserve"> (gain moyen de carbone) et </w:t>
      </w:r>
      <w:proofErr w:type="spellStart"/>
      <w:r w:rsidRPr="13C70224">
        <w:rPr>
          <w:rFonts w:eastAsia="Arial" w:cs="Arial"/>
        </w:rPr>
        <w:t>GrdSeumoy_D</w:t>
      </w:r>
      <w:proofErr w:type="spellEnd"/>
      <w:r w:rsidRPr="13C70224">
        <w:rPr>
          <w:rFonts w:eastAsia="Arial" w:cs="Arial"/>
        </w:rPr>
        <w:t xml:space="preserve"> (perte moyenne), toutes deux en rotation année 2. En effet, du compost de déchets verts a été appliqué sur </w:t>
      </w:r>
      <w:proofErr w:type="spellStart"/>
      <w:r w:rsidRPr="13C70224">
        <w:rPr>
          <w:rFonts w:eastAsia="Arial" w:cs="Arial"/>
        </w:rPr>
        <w:t>Pivot_Pont</w:t>
      </w:r>
      <w:proofErr w:type="spellEnd"/>
      <w:r w:rsidRPr="13C70224">
        <w:rPr>
          <w:rFonts w:eastAsia="Arial" w:cs="Arial"/>
        </w:rPr>
        <w:t xml:space="preserve">, tandis que </w:t>
      </w:r>
      <w:proofErr w:type="spellStart"/>
      <w:r w:rsidRPr="13C70224">
        <w:rPr>
          <w:rFonts w:eastAsia="Arial" w:cs="Arial"/>
        </w:rPr>
        <w:lastRenderedPageBreak/>
        <w:t>GrdSeumoy_D</w:t>
      </w:r>
      <w:proofErr w:type="spellEnd"/>
      <w:r w:rsidRPr="13C70224">
        <w:rPr>
          <w:rFonts w:eastAsia="Arial" w:cs="Arial"/>
        </w:rPr>
        <w:t xml:space="preserve"> a reçu du fumier de bovin. Les analyses des intrants réalisées en 2023 ont montré des différences de composition entre ces deux amendements, notamment en termes de carbone oxydable. Le fumier présente un taux de carbone oxydable plus élevé que le compost (fumier = 30% ± 7.4 ; compost = 26% ± 3.8), ce qui indique que le compost constituerait une source de carbone plus stable dans le sol.</w:t>
      </w:r>
    </w:p>
    <w:p w14:paraId="76E9DD6A" w14:textId="5BB2F975" w:rsidR="1BDD9486" w:rsidRDefault="1BDD9486" w:rsidP="13C70224">
      <w:pPr>
        <w:spacing w:line="276" w:lineRule="auto"/>
        <w:jc w:val="both"/>
        <w:rPr>
          <w:rFonts w:eastAsia="Arial" w:cs="Arial"/>
        </w:rPr>
      </w:pPr>
    </w:p>
    <w:p w14:paraId="5C140B84" w14:textId="58486FE5" w:rsidR="3735ACF4" w:rsidRDefault="3735ACF4" w:rsidP="13C70224">
      <w:pPr>
        <w:spacing w:line="276" w:lineRule="auto"/>
        <w:jc w:val="both"/>
        <w:rPr>
          <w:rFonts w:eastAsia="Arial" w:cs="Arial"/>
          <w:b/>
          <w:bCs/>
        </w:rPr>
      </w:pPr>
      <w:r w:rsidRPr="13C70224">
        <w:rPr>
          <w:rFonts w:eastAsia="Arial" w:cs="Arial"/>
          <w:b/>
          <w:bCs/>
        </w:rPr>
        <w:t>Conclusion sur l’évolution du carbone organique</w:t>
      </w:r>
    </w:p>
    <w:p w14:paraId="732C3AFD" w14:textId="0DA2AB0F" w:rsidR="3735ACF4" w:rsidRDefault="3735ACF4" w:rsidP="13C70224">
      <w:pPr>
        <w:spacing w:line="276" w:lineRule="auto"/>
        <w:jc w:val="both"/>
        <w:rPr>
          <w:rFonts w:eastAsia="Arial" w:cs="Arial"/>
        </w:rPr>
      </w:pPr>
      <w:r w:rsidRPr="13C70224">
        <w:rPr>
          <w:rFonts w:eastAsia="Arial" w:cs="Arial"/>
        </w:rPr>
        <w:t>L’objectif de ces apports modulés était de cibler les zones les plus défavorables en matière organique afin de maximiser l’efficacité des applications et d’optimiser l’usage d’une ressource disponible en quantité limitée (compost, fumier). Les résultats montrent que sur les parcelles en rotation année 1, les contrastes entre zones défavorables et zones favorables restent bien visibles, notamment grâce aux apports répétés et différenciés. En revanche, sur les parcelles en rotation année 2, les différences sont déjà moins marquées, ce qui suggère que l’effet des modulations s’estompe rapidement lorsque les apports modulés sont ponctuels.</w:t>
      </w:r>
    </w:p>
    <w:p w14:paraId="480206CC" w14:textId="429FF909" w:rsidR="1BDD9486" w:rsidRDefault="1BDD9486" w:rsidP="13C70224">
      <w:pPr>
        <w:spacing w:line="276" w:lineRule="auto"/>
        <w:jc w:val="both"/>
        <w:rPr>
          <w:rFonts w:eastAsia="Arial" w:cs="Arial"/>
        </w:rPr>
      </w:pPr>
    </w:p>
    <w:p w14:paraId="212866B7" w14:textId="0E576714" w:rsidR="3735ACF4" w:rsidRDefault="3735ACF4" w:rsidP="13C70224">
      <w:pPr>
        <w:spacing w:line="276" w:lineRule="auto"/>
        <w:jc w:val="both"/>
        <w:rPr>
          <w:rFonts w:eastAsia="Arial" w:cs="Arial"/>
          <w:b/>
          <w:bCs/>
        </w:rPr>
      </w:pPr>
      <w:r w:rsidRPr="13C70224">
        <w:rPr>
          <w:rFonts w:eastAsia="Arial" w:cs="Arial"/>
          <w:b/>
          <w:bCs/>
        </w:rPr>
        <w:t>Perspectives</w:t>
      </w:r>
    </w:p>
    <w:p w14:paraId="79F07E12" w14:textId="2B126426" w:rsidR="3735ACF4" w:rsidRDefault="3735ACF4" w:rsidP="13C70224">
      <w:pPr>
        <w:spacing w:line="276" w:lineRule="auto"/>
        <w:jc w:val="both"/>
        <w:rPr>
          <w:rFonts w:eastAsia="Arial" w:cs="Arial"/>
        </w:rPr>
      </w:pPr>
      <w:r w:rsidRPr="0FF8C3A4">
        <w:rPr>
          <w:rFonts w:eastAsia="Arial" w:cs="Arial"/>
        </w:rPr>
        <w:t>Si le carbone organique continue d’augmenter prioritairement dans les zones défavorables, tandis qu’il stagne ou n’évolue que faiblement dans les zones favorables, on peut envisager, à long terme, une homogénéisation progressive du carbone organique à l’échelle des parcelles.</w:t>
      </w:r>
    </w:p>
    <w:p w14:paraId="677E2707" w14:textId="52B42C57" w:rsidR="0FF8C3A4" w:rsidRDefault="0FF8C3A4" w:rsidP="0FF8C3A4">
      <w:pPr>
        <w:spacing w:line="276" w:lineRule="auto"/>
        <w:jc w:val="both"/>
        <w:rPr>
          <w:rFonts w:eastAsia="Arial" w:cs="Arial"/>
        </w:rPr>
      </w:pPr>
    </w:p>
    <w:p w14:paraId="2F92BA62" w14:textId="163946D7" w:rsidR="3735ACF4" w:rsidRDefault="3735ACF4" w:rsidP="13C70224">
      <w:pPr>
        <w:pStyle w:val="Titre4"/>
        <w:spacing w:line="276" w:lineRule="auto"/>
        <w:jc w:val="both"/>
        <w:rPr>
          <w:rFonts w:eastAsia="Arial" w:cs="Arial"/>
        </w:rPr>
      </w:pPr>
      <w:r w:rsidRPr="13C70224">
        <w:rPr>
          <w:rFonts w:eastAsia="Arial" w:cs="Arial"/>
        </w:rPr>
        <w:t>InterraScan</w:t>
      </w:r>
    </w:p>
    <w:p w14:paraId="67F66584" w14:textId="67C7295C" w:rsidR="3735ACF4" w:rsidRDefault="3735ACF4" w:rsidP="13C70224">
      <w:pPr>
        <w:spacing w:after="0" w:line="276" w:lineRule="auto"/>
        <w:jc w:val="both"/>
        <w:rPr>
          <w:rFonts w:eastAsia="Arial" w:cs="Arial"/>
        </w:rPr>
      </w:pPr>
      <w:r w:rsidRPr="13C70224">
        <w:rPr>
          <w:rFonts w:eastAsia="Arial" w:cs="Arial"/>
        </w:rPr>
        <w:t>Aucune modulation de dose n’a été implémentée sur la base des cartes de carbone organique, du taux d’argile ou du ratio C/argile fournies par le service de cartographie des sols InterraScan.</w:t>
      </w:r>
    </w:p>
    <w:p w14:paraId="4866CA9F" w14:textId="57D5939B" w:rsidR="1BDD9486" w:rsidRDefault="1BDD9486" w:rsidP="13C70224">
      <w:pPr>
        <w:spacing w:line="276" w:lineRule="auto"/>
        <w:rPr>
          <w:rFonts w:eastAsia="Arial" w:cs="Arial"/>
        </w:rPr>
      </w:pPr>
    </w:p>
    <w:p w14:paraId="25630B9A" w14:textId="7D60ACCD" w:rsidR="2415BCF4" w:rsidRDefault="348A01A2" w:rsidP="13C70224">
      <w:pPr>
        <w:pStyle w:val="Titre2"/>
        <w:spacing w:line="276" w:lineRule="auto"/>
        <w:rPr>
          <w:rFonts w:ascii="Arial" w:eastAsia="Arial" w:hAnsi="Arial" w:cs="Arial"/>
        </w:rPr>
      </w:pPr>
      <w:bookmarkStart w:id="13" w:name="_Toc950463695"/>
      <w:r w:rsidRPr="3BFF6491">
        <w:rPr>
          <w:rFonts w:ascii="Arial" w:eastAsia="Arial" w:hAnsi="Arial" w:cs="Arial"/>
        </w:rPr>
        <w:t>Sujet 2 : pH</w:t>
      </w:r>
      <w:bookmarkEnd w:id="13"/>
    </w:p>
    <w:p w14:paraId="2BF55A1B" w14:textId="7857C4BA" w:rsidR="0BA86A71" w:rsidRDefault="054EA2CD" w:rsidP="13C70224">
      <w:pPr>
        <w:pStyle w:val="Titre3"/>
        <w:spacing w:line="276" w:lineRule="auto"/>
        <w:jc w:val="both"/>
        <w:rPr>
          <w:rFonts w:eastAsia="Arial" w:cs="Arial"/>
        </w:rPr>
      </w:pPr>
      <w:r w:rsidRPr="13C70224">
        <w:rPr>
          <w:rFonts w:eastAsia="Arial" w:cs="Arial"/>
        </w:rPr>
        <w:t>Performance des capteurs</w:t>
      </w:r>
    </w:p>
    <w:p w14:paraId="7A7D8E75" w14:textId="65D1647C" w:rsidR="2F148CD4" w:rsidRDefault="1426AE4F" w:rsidP="13C70224">
      <w:pPr>
        <w:pStyle w:val="Titre4"/>
        <w:spacing w:line="276" w:lineRule="auto"/>
        <w:jc w:val="both"/>
        <w:rPr>
          <w:rFonts w:eastAsia="Arial" w:cs="Arial"/>
        </w:rPr>
      </w:pPr>
      <w:r w:rsidRPr="13C70224">
        <w:rPr>
          <w:rFonts w:eastAsia="Arial" w:cs="Arial"/>
        </w:rPr>
        <w:t>Référence</w:t>
      </w:r>
    </w:p>
    <w:p w14:paraId="2E7F37BB" w14:textId="64DA2930" w:rsidR="7987C33F" w:rsidRDefault="4F793433" w:rsidP="13C70224">
      <w:pPr>
        <w:spacing w:line="276" w:lineRule="auto"/>
        <w:jc w:val="both"/>
        <w:rPr>
          <w:rFonts w:eastAsia="Arial" w:cs="Arial"/>
        </w:rPr>
      </w:pPr>
      <w:r w:rsidRPr="13C70224">
        <w:rPr>
          <w:rFonts w:eastAsia="Arial" w:cs="Arial"/>
        </w:rPr>
        <w:t xml:space="preserve">Les </w:t>
      </w:r>
      <w:r w:rsidR="4F54E4BD" w:rsidRPr="13C70224">
        <w:rPr>
          <w:rFonts w:eastAsia="Arial" w:cs="Arial"/>
        </w:rPr>
        <w:t>marge</w:t>
      </w:r>
      <w:r w:rsidR="27868EFF" w:rsidRPr="13C70224">
        <w:rPr>
          <w:rFonts w:eastAsia="Arial" w:cs="Arial"/>
        </w:rPr>
        <w:t>s</w:t>
      </w:r>
      <w:r w:rsidR="4F54E4BD" w:rsidRPr="13C70224">
        <w:rPr>
          <w:rFonts w:eastAsia="Arial" w:cs="Arial"/>
        </w:rPr>
        <w:t xml:space="preserve"> d’erreur</w:t>
      </w:r>
      <w:r w:rsidR="66EA41AD" w:rsidRPr="13C70224">
        <w:rPr>
          <w:rFonts w:eastAsia="Arial" w:cs="Arial"/>
        </w:rPr>
        <w:t>s</w:t>
      </w:r>
      <w:r w:rsidR="4F85D18E" w:rsidRPr="13C70224">
        <w:rPr>
          <w:rFonts w:eastAsia="Arial" w:cs="Arial"/>
        </w:rPr>
        <w:t xml:space="preserve"> et l</w:t>
      </w:r>
      <w:r w:rsidR="64E4ED99" w:rsidRPr="13C70224">
        <w:rPr>
          <w:rFonts w:eastAsia="Arial" w:cs="Arial"/>
        </w:rPr>
        <w:t xml:space="preserve">’étude </w:t>
      </w:r>
      <w:r w:rsidR="68DA7184" w:rsidRPr="13C70224">
        <w:rPr>
          <w:rFonts w:eastAsia="Arial" w:cs="Arial"/>
        </w:rPr>
        <w:t>sur le</w:t>
      </w:r>
      <w:r w:rsidR="6B649BB7" w:rsidRPr="13C70224">
        <w:rPr>
          <w:rFonts w:eastAsia="Arial" w:cs="Arial"/>
        </w:rPr>
        <w:t xml:space="preserve"> degré d’hétérogénéité d</w:t>
      </w:r>
      <w:r w:rsidR="6C33C83C" w:rsidRPr="13C70224">
        <w:rPr>
          <w:rFonts w:eastAsia="Arial" w:cs="Arial"/>
        </w:rPr>
        <w:t>es mesures de</w:t>
      </w:r>
      <w:r w:rsidR="6B649BB7" w:rsidRPr="13C70224">
        <w:rPr>
          <w:rFonts w:eastAsia="Arial" w:cs="Arial"/>
        </w:rPr>
        <w:t xml:space="preserve"> pH </w:t>
      </w:r>
      <w:r w:rsidR="75292A45" w:rsidRPr="13C70224">
        <w:rPr>
          <w:rFonts w:eastAsia="Arial" w:cs="Arial"/>
        </w:rPr>
        <w:t xml:space="preserve">à l’échelle de l’exploitation </w:t>
      </w:r>
      <w:r w:rsidR="77172C8B" w:rsidRPr="13C70224">
        <w:rPr>
          <w:rFonts w:eastAsia="Arial" w:cs="Arial"/>
        </w:rPr>
        <w:t>sont</w:t>
      </w:r>
      <w:r w:rsidR="6B649BB7" w:rsidRPr="13C70224">
        <w:rPr>
          <w:rFonts w:eastAsia="Arial" w:cs="Arial"/>
        </w:rPr>
        <w:t xml:space="preserve"> </w:t>
      </w:r>
      <w:r w:rsidR="361A22B8" w:rsidRPr="13C70224">
        <w:rPr>
          <w:rFonts w:eastAsia="Arial" w:cs="Arial"/>
        </w:rPr>
        <w:t>disponible</w:t>
      </w:r>
      <w:r w:rsidR="6B649BB7" w:rsidRPr="13C70224">
        <w:rPr>
          <w:rFonts w:eastAsia="Arial" w:cs="Arial"/>
        </w:rPr>
        <w:t xml:space="preserve"> dans le</w:t>
      </w:r>
      <w:r w:rsidR="2C5E16C9" w:rsidRPr="13C70224">
        <w:rPr>
          <w:rFonts w:eastAsia="Arial" w:cs="Arial"/>
        </w:rPr>
        <w:t xml:space="preserve"> </w:t>
      </w:r>
      <w:r w:rsidR="25F0A911" w:rsidRPr="13C70224">
        <w:rPr>
          <w:rFonts w:eastAsia="Arial" w:cs="Arial"/>
        </w:rPr>
        <w:t>tableau 5</w:t>
      </w:r>
      <w:r w:rsidR="6B649BB7" w:rsidRPr="13C70224">
        <w:rPr>
          <w:rFonts w:eastAsia="Arial" w:cs="Arial"/>
        </w:rPr>
        <w:t>.</w:t>
      </w:r>
    </w:p>
    <w:p w14:paraId="16A1B229" w14:textId="306B1CFC" w:rsidR="78D56068" w:rsidRDefault="61E2E50B" w:rsidP="13C70224">
      <w:pPr>
        <w:pStyle w:val="Lgende"/>
        <w:keepNext/>
        <w:spacing w:line="276" w:lineRule="auto"/>
        <w:jc w:val="both"/>
        <w:rPr>
          <w:rFonts w:eastAsia="Arial" w:cs="Arial"/>
        </w:rPr>
      </w:pPr>
      <w:bookmarkStart w:id="14" w:name="_Ref221612055"/>
      <w:r w:rsidRPr="3BFF6491">
        <w:rPr>
          <w:rFonts w:eastAsia="Arial" w:cs="Arial"/>
        </w:rPr>
        <w:t xml:space="preserve">Tableau </w:t>
      </w:r>
      <w:r w:rsidR="14A6F724" w:rsidRPr="3BFF6491">
        <w:rPr>
          <w:rFonts w:eastAsia="Arial" w:cs="Arial"/>
        </w:rPr>
        <w:t>5</w:t>
      </w:r>
      <w:bookmarkEnd w:id="14"/>
      <w:r w:rsidRPr="3BFF6491">
        <w:rPr>
          <w:rFonts w:eastAsia="Arial" w:cs="Arial"/>
        </w:rPr>
        <w:t>. Présentation, pour les différentes mesures de pH fournies par les laboratoires, de la marge d’erreur des analyses et du coefficient de variation du paramètre à l’échelle de l’exploitation. La colonne 'Hétérogénéité' indique si le paramètre est significativement hétérogène au regard de l’erreur d’analyse (c’est-à-dire si le coefficient de variation moyen, diminué de l’écart-type, dépasse le pourcentage d’erreur). L’écart-type a été calculé grâce à l’étape de “</w:t>
      </w:r>
      <w:proofErr w:type="spellStart"/>
      <w:r w:rsidRPr="3BFF6491">
        <w:rPr>
          <w:rFonts w:eastAsia="Arial" w:cs="Arial"/>
        </w:rPr>
        <w:t>bootstrapping</w:t>
      </w:r>
      <w:proofErr w:type="spellEnd"/>
      <w:r w:rsidRPr="3BFF6491">
        <w:rPr>
          <w:rFonts w:eastAsia="Arial" w:cs="Arial"/>
        </w:rPr>
        <w:t>”.</w:t>
      </w:r>
    </w:p>
    <w:tbl>
      <w:tblPr>
        <w:tblW w:w="0" w:type="auto"/>
        <w:jc w:val="center"/>
        <w:tblLook w:val="06A0" w:firstRow="1" w:lastRow="0" w:firstColumn="1" w:lastColumn="0" w:noHBand="1" w:noVBand="1"/>
      </w:tblPr>
      <w:tblGrid>
        <w:gridCol w:w="1455"/>
        <w:gridCol w:w="1395"/>
        <w:gridCol w:w="1185"/>
        <w:gridCol w:w="1665"/>
        <w:gridCol w:w="1395"/>
      </w:tblGrid>
      <w:tr w:rsidR="00512533" w14:paraId="32F52279" w14:textId="77777777" w:rsidTr="0FF8C3A4">
        <w:trPr>
          <w:trHeight w:val="300"/>
          <w:jc w:val="center"/>
        </w:trPr>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179686" w14:textId="5E272927" w:rsidR="30D93C8E" w:rsidRDefault="1D898C60" w:rsidP="0FF8C3A4">
            <w:pPr>
              <w:spacing w:after="0" w:line="276" w:lineRule="auto"/>
              <w:jc w:val="center"/>
              <w:rPr>
                <w:rFonts w:eastAsia="Arial" w:cs="Arial"/>
                <w:b/>
                <w:bCs/>
              </w:rPr>
            </w:pPr>
            <w:r w:rsidRPr="0FF8C3A4">
              <w:rPr>
                <w:rFonts w:eastAsia="Arial" w:cs="Arial"/>
                <w:b/>
                <w:bCs/>
              </w:rPr>
              <w:t>Laboratoire</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16A835" w14:textId="4DDA843C" w:rsidR="30D93C8E" w:rsidRDefault="1D898C60" w:rsidP="0FF8C3A4">
            <w:pPr>
              <w:spacing w:after="0" w:line="276" w:lineRule="auto"/>
              <w:jc w:val="center"/>
              <w:rPr>
                <w:rFonts w:eastAsia="Arial" w:cs="Arial"/>
                <w:b/>
                <w:bCs/>
              </w:rPr>
            </w:pPr>
            <w:r w:rsidRPr="0FF8C3A4">
              <w:rPr>
                <w:rFonts w:eastAsia="Arial" w:cs="Arial"/>
                <w:b/>
                <w:bCs/>
              </w:rPr>
              <w:t>Paramètre</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08306A" w14:textId="795CFFDE" w:rsidR="30D93C8E" w:rsidRDefault="1D898C60" w:rsidP="0FF8C3A4">
            <w:pPr>
              <w:spacing w:after="0" w:line="276" w:lineRule="auto"/>
              <w:jc w:val="center"/>
              <w:rPr>
                <w:rFonts w:eastAsia="Arial" w:cs="Arial"/>
                <w:b/>
                <w:bCs/>
              </w:rPr>
            </w:pPr>
            <w:r w:rsidRPr="0FF8C3A4">
              <w:rPr>
                <w:rFonts w:eastAsia="Arial" w:cs="Arial"/>
                <w:b/>
                <w:bCs/>
              </w:rPr>
              <w:t>Erreur</w:t>
            </w:r>
          </w:p>
        </w:tc>
        <w:tc>
          <w:tcPr>
            <w:tcW w:w="16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045F95" w14:textId="1591ED42" w:rsidR="30D93C8E" w:rsidRDefault="1D898C60" w:rsidP="0FF8C3A4">
            <w:pPr>
              <w:spacing w:after="0" w:line="276" w:lineRule="auto"/>
              <w:jc w:val="center"/>
              <w:rPr>
                <w:rFonts w:eastAsia="Arial" w:cs="Arial"/>
                <w:b/>
                <w:bCs/>
              </w:rPr>
            </w:pPr>
            <w:r w:rsidRPr="0FF8C3A4">
              <w:rPr>
                <w:rFonts w:eastAsia="Arial" w:cs="Arial"/>
                <w:b/>
                <w:bCs/>
              </w:rPr>
              <w:t xml:space="preserve">Coefficient de variation </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4783659" w14:textId="0F8613E8" w:rsidR="30D93C8E" w:rsidRDefault="1D898C60" w:rsidP="0FF8C3A4">
            <w:pPr>
              <w:spacing w:after="0" w:line="276" w:lineRule="auto"/>
              <w:jc w:val="center"/>
              <w:rPr>
                <w:rFonts w:eastAsia="Arial" w:cs="Arial"/>
                <w:b/>
                <w:bCs/>
              </w:rPr>
            </w:pPr>
            <w:r w:rsidRPr="0FF8C3A4">
              <w:rPr>
                <w:rFonts w:eastAsia="Arial" w:cs="Arial"/>
                <w:b/>
                <w:bCs/>
              </w:rPr>
              <w:t>Hétérogène</w:t>
            </w:r>
          </w:p>
        </w:tc>
      </w:tr>
      <w:tr w:rsidR="00512533" w14:paraId="0AB76368" w14:textId="77777777" w:rsidTr="0FF8C3A4">
        <w:trPr>
          <w:trHeight w:val="300"/>
          <w:jc w:val="center"/>
        </w:trPr>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FACE2F9" w14:textId="7A078E53" w:rsidR="30D93C8E" w:rsidRDefault="1D898C60" w:rsidP="0FF8C3A4">
            <w:pPr>
              <w:spacing w:after="0" w:line="276" w:lineRule="auto"/>
              <w:jc w:val="center"/>
              <w:rPr>
                <w:rFonts w:eastAsia="Arial" w:cs="Arial"/>
              </w:rPr>
            </w:pPr>
            <w:r w:rsidRPr="0FF8C3A4">
              <w:rPr>
                <w:rFonts w:eastAsia="Arial" w:cs="Arial"/>
              </w:rPr>
              <w:t>BW</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04F3E9" w14:textId="6B010BD4" w:rsidR="30D93C8E" w:rsidRDefault="1D898C60" w:rsidP="0FF8C3A4">
            <w:pPr>
              <w:spacing w:after="0" w:line="276" w:lineRule="auto"/>
              <w:jc w:val="center"/>
              <w:rPr>
                <w:rFonts w:eastAsia="Arial" w:cs="Arial"/>
              </w:rPr>
            </w:pPr>
            <w:proofErr w:type="gramStart"/>
            <w:r w:rsidRPr="0FF8C3A4">
              <w:rPr>
                <w:rFonts w:eastAsia="Arial" w:cs="Arial"/>
              </w:rPr>
              <w:t>pH</w:t>
            </w:r>
            <w:proofErr w:type="gramEnd"/>
            <w:r w:rsidRPr="0FF8C3A4">
              <w:rPr>
                <w:rFonts w:eastAsia="Arial" w:cs="Arial"/>
              </w:rPr>
              <w:t xml:space="preserve"> KCl</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084746" w14:textId="1B610BC7" w:rsidR="30D93C8E" w:rsidRDefault="1D898C60" w:rsidP="0FF8C3A4">
            <w:pPr>
              <w:spacing w:after="0" w:line="276" w:lineRule="auto"/>
              <w:jc w:val="center"/>
              <w:rPr>
                <w:rFonts w:eastAsia="Arial" w:cs="Arial"/>
              </w:rPr>
            </w:pPr>
            <w:r w:rsidRPr="0FF8C3A4">
              <w:rPr>
                <w:rFonts w:eastAsia="Arial" w:cs="Arial"/>
              </w:rPr>
              <w:t>3,00 %</w:t>
            </w:r>
          </w:p>
        </w:tc>
        <w:tc>
          <w:tcPr>
            <w:tcW w:w="16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FCF0A2" w14:textId="1E9BE6CA" w:rsidR="30D93C8E" w:rsidRDefault="1D898C60" w:rsidP="0FF8C3A4">
            <w:pPr>
              <w:spacing w:after="0" w:line="276" w:lineRule="auto"/>
              <w:jc w:val="center"/>
              <w:rPr>
                <w:rFonts w:eastAsia="Arial" w:cs="Arial"/>
              </w:rPr>
            </w:pPr>
            <w:r w:rsidRPr="0FF8C3A4">
              <w:rPr>
                <w:rFonts w:eastAsia="Arial" w:cs="Arial"/>
              </w:rPr>
              <w:t>6.41% ± 0.18</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C134F9B" w14:textId="4DDAF44F" w:rsidR="30D93C8E" w:rsidRDefault="1D898C60" w:rsidP="0FF8C3A4">
            <w:pPr>
              <w:spacing w:after="0" w:line="276" w:lineRule="auto"/>
              <w:jc w:val="center"/>
              <w:rPr>
                <w:rFonts w:eastAsia="Arial" w:cs="Arial"/>
              </w:rPr>
            </w:pPr>
            <w:proofErr w:type="gramStart"/>
            <w:r w:rsidRPr="0FF8C3A4">
              <w:rPr>
                <w:rFonts w:eastAsia="Arial" w:cs="Arial"/>
              </w:rPr>
              <w:t>oui</w:t>
            </w:r>
            <w:proofErr w:type="gramEnd"/>
          </w:p>
        </w:tc>
      </w:tr>
      <w:tr w:rsidR="00512533" w14:paraId="7D670238" w14:textId="77777777" w:rsidTr="0FF8C3A4">
        <w:trPr>
          <w:trHeight w:val="300"/>
          <w:jc w:val="center"/>
        </w:trPr>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2A8F17" w14:textId="0DA7CB07" w:rsidR="30D93C8E" w:rsidRDefault="1D898C60" w:rsidP="0FF8C3A4">
            <w:pPr>
              <w:spacing w:after="0" w:line="276" w:lineRule="auto"/>
              <w:jc w:val="center"/>
              <w:rPr>
                <w:rFonts w:eastAsia="Arial" w:cs="Arial"/>
              </w:rPr>
            </w:pPr>
            <w:r w:rsidRPr="0FF8C3A4">
              <w:rPr>
                <w:rFonts w:eastAsia="Arial" w:cs="Arial"/>
              </w:rPr>
              <w:t>BW</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1A43E1" w14:textId="3AE53F69" w:rsidR="30D93C8E" w:rsidRDefault="1D898C60" w:rsidP="0FF8C3A4">
            <w:pPr>
              <w:spacing w:after="0" w:line="276" w:lineRule="auto"/>
              <w:jc w:val="center"/>
              <w:rPr>
                <w:rFonts w:eastAsia="Arial" w:cs="Arial"/>
              </w:rPr>
            </w:pPr>
            <w:proofErr w:type="gramStart"/>
            <w:r w:rsidRPr="0FF8C3A4">
              <w:rPr>
                <w:rFonts w:eastAsia="Arial" w:cs="Arial"/>
              </w:rPr>
              <w:t>pH</w:t>
            </w:r>
            <w:proofErr w:type="gramEnd"/>
            <w:r w:rsidRPr="0FF8C3A4">
              <w:rPr>
                <w:rFonts w:eastAsia="Arial" w:cs="Arial"/>
              </w:rPr>
              <w:t xml:space="preserve"> eau</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AF7DAE" w14:textId="12D183BB" w:rsidR="30D93C8E" w:rsidRDefault="1D898C60" w:rsidP="0FF8C3A4">
            <w:pPr>
              <w:spacing w:after="0" w:line="276" w:lineRule="auto"/>
              <w:jc w:val="center"/>
              <w:rPr>
                <w:rFonts w:eastAsia="Arial" w:cs="Arial"/>
              </w:rPr>
            </w:pPr>
            <w:r w:rsidRPr="0FF8C3A4">
              <w:rPr>
                <w:rFonts w:eastAsia="Arial" w:cs="Arial"/>
              </w:rPr>
              <w:t>5,00 %</w:t>
            </w:r>
          </w:p>
        </w:tc>
        <w:tc>
          <w:tcPr>
            <w:tcW w:w="16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25310CA" w14:textId="1B1AB7A5" w:rsidR="30D93C8E" w:rsidRDefault="1D898C60" w:rsidP="0FF8C3A4">
            <w:pPr>
              <w:spacing w:after="0" w:line="276" w:lineRule="auto"/>
              <w:jc w:val="center"/>
              <w:rPr>
                <w:rFonts w:eastAsia="Arial" w:cs="Arial"/>
              </w:rPr>
            </w:pPr>
            <w:r w:rsidRPr="0FF8C3A4">
              <w:rPr>
                <w:rFonts w:eastAsia="Arial" w:cs="Arial"/>
              </w:rPr>
              <w:t>3.75% ± 0.1</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4FBB5E" w14:textId="54D8F155" w:rsidR="30D93C8E" w:rsidRDefault="1D898C60" w:rsidP="0FF8C3A4">
            <w:pPr>
              <w:spacing w:after="0" w:line="276" w:lineRule="auto"/>
              <w:jc w:val="center"/>
              <w:rPr>
                <w:rFonts w:eastAsia="Arial" w:cs="Arial"/>
              </w:rPr>
            </w:pPr>
            <w:proofErr w:type="gramStart"/>
            <w:r w:rsidRPr="0FF8C3A4">
              <w:rPr>
                <w:rFonts w:eastAsia="Arial" w:cs="Arial"/>
              </w:rPr>
              <w:t>non</w:t>
            </w:r>
            <w:proofErr w:type="gramEnd"/>
          </w:p>
        </w:tc>
      </w:tr>
      <w:tr w:rsidR="00512533" w14:paraId="58375AD1" w14:textId="77777777" w:rsidTr="0FF8C3A4">
        <w:trPr>
          <w:trHeight w:val="300"/>
          <w:jc w:val="center"/>
        </w:trPr>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45EA7A" w14:textId="7FF5CD31" w:rsidR="30D93C8E" w:rsidRDefault="1D898C60" w:rsidP="0FF8C3A4">
            <w:pPr>
              <w:spacing w:after="0" w:line="276" w:lineRule="auto"/>
              <w:jc w:val="center"/>
              <w:rPr>
                <w:rFonts w:eastAsia="Arial" w:cs="Arial"/>
              </w:rPr>
            </w:pPr>
            <w:r w:rsidRPr="0FF8C3A4">
              <w:rPr>
                <w:rFonts w:eastAsia="Arial" w:cs="Arial"/>
              </w:rPr>
              <w:t>BDB</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3EA8D9" w14:textId="62F3D190" w:rsidR="30D93C8E" w:rsidRDefault="1D898C60" w:rsidP="0FF8C3A4">
            <w:pPr>
              <w:spacing w:after="0" w:line="276" w:lineRule="auto"/>
              <w:jc w:val="center"/>
              <w:rPr>
                <w:rFonts w:eastAsia="Arial" w:cs="Arial"/>
              </w:rPr>
            </w:pPr>
            <w:proofErr w:type="gramStart"/>
            <w:r w:rsidRPr="0FF8C3A4">
              <w:rPr>
                <w:rFonts w:eastAsia="Arial" w:cs="Arial"/>
              </w:rPr>
              <w:t>pH</w:t>
            </w:r>
            <w:proofErr w:type="gramEnd"/>
            <w:r w:rsidRPr="0FF8C3A4">
              <w:rPr>
                <w:rFonts w:eastAsia="Arial" w:cs="Arial"/>
              </w:rPr>
              <w:t xml:space="preserve"> KCl méthode 1</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9F0823" w14:textId="725A0230" w:rsidR="30D93C8E" w:rsidRDefault="1D898C60" w:rsidP="0FF8C3A4">
            <w:pPr>
              <w:spacing w:after="0" w:line="276" w:lineRule="auto"/>
              <w:jc w:val="center"/>
              <w:rPr>
                <w:rFonts w:eastAsia="Arial" w:cs="Arial"/>
              </w:rPr>
            </w:pPr>
            <w:r w:rsidRPr="0FF8C3A4">
              <w:rPr>
                <w:rFonts w:eastAsia="Arial" w:cs="Arial"/>
              </w:rPr>
              <w:t>0,44 unité</w:t>
            </w:r>
          </w:p>
        </w:tc>
        <w:tc>
          <w:tcPr>
            <w:tcW w:w="16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4FC541" w14:textId="10E734FB" w:rsidR="30D93C8E" w:rsidRDefault="1D898C60" w:rsidP="0FF8C3A4">
            <w:pPr>
              <w:spacing w:after="0" w:line="276" w:lineRule="auto"/>
              <w:jc w:val="center"/>
              <w:rPr>
                <w:rFonts w:eastAsia="Arial" w:cs="Arial"/>
              </w:rPr>
            </w:pPr>
            <w:r w:rsidRPr="0FF8C3A4">
              <w:rPr>
                <w:rFonts w:eastAsia="Arial" w:cs="Arial"/>
              </w:rPr>
              <w:t>4.83% ± 0.22</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0108DF" w14:textId="1A3C4427" w:rsidR="30D93C8E" w:rsidRDefault="1D898C60" w:rsidP="0FF8C3A4">
            <w:pPr>
              <w:spacing w:after="0" w:line="276" w:lineRule="auto"/>
              <w:jc w:val="center"/>
              <w:rPr>
                <w:rFonts w:eastAsia="Arial" w:cs="Arial"/>
              </w:rPr>
            </w:pPr>
            <w:r w:rsidRPr="0FF8C3A4">
              <w:rPr>
                <w:rFonts w:eastAsia="Arial" w:cs="Arial"/>
              </w:rPr>
              <w:t>-</w:t>
            </w:r>
          </w:p>
        </w:tc>
      </w:tr>
      <w:tr w:rsidR="00512533" w14:paraId="7C9B3E8D" w14:textId="77777777" w:rsidTr="0FF8C3A4">
        <w:trPr>
          <w:trHeight w:val="300"/>
          <w:jc w:val="center"/>
        </w:trPr>
        <w:tc>
          <w:tcPr>
            <w:tcW w:w="14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6456181" w14:textId="5493E48A" w:rsidR="30D93C8E" w:rsidRDefault="1D898C60" w:rsidP="0FF8C3A4">
            <w:pPr>
              <w:spacing w:after="0" w:line="276" w:lineRule="auto"/>
              <w:jc w:val="center"/>
              <w:rPr>
                <w:rFonts w:eastAsia="Arial" w:cs="Arial"/>
              </w:rPr>
            </w:pPr>
            <w:r w:rsidRPr="0FF8C3A4">
              <w:rPr>
                <w:rFonts w:eastAsia="Arial" w:cs="Arial"/>
              </w:rPr>
              <w:t>BDB</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AC23628" w14:textId="27C96A9F" w:rsidR="30D93C8E" w:rsidRDefault="1D898C60" w:rsidP="0FF8C3A4">
            <w:pPr>
              <w:spacing w:after="0" w:line="276" w:lineRule="auto"/>
              <w:jc w:val="center"/>
              <w:rPr>
                <w:rFonts w:eastAsia="Arial" w:cs="Arial"/>
              </w:rPr>
            </w:pPr>
            <w:proofErr w:type="gramStart"/>
            <w:r w:rsidRPr="0FF8C3A4">
              <w:rPr>
                <w:rFonts w:eastAsia="Arial" w:cs="Arial"/>
              </w:rPr>
              <w:t>pH</w:t>
            </w:r>
            <w:proofErr w:type="gramEnd"/>
            <w:r w:rsidRPr="0FF8C3A4">
              <w:rPr>
                <w:rFonts w:eastAsia="Arial" w:cs="Arial"/>
              </w:rPr>
              <w:t xml:space="preserve"> KCl méthode 2</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F299D4" w14:textId="10A2EE48" w:rsidR="30D93C8E" w:rsidRDefault="1D898C60" w:rsidP="0FF8C3A4">
            <w:pPr>
              <w:spacing w:after="0" w:line="276" w:lineRule="auto"/>
              <w:jc w:val="center"/>
              <w:rPr>
                <w:rFonts w:eastAsia="Arial" w:cs="Arial"/>
              </w:rPr>
            </w:pPr>
            <w:r w:rsidRPr="0FF8C3A4">
              <w:rPr>
                <w:rFonts w:eastAsia="Arial" w:cs="Arial"/>
              </w:rPr>
              <w:t>0,44 unité</w:t>
            </w:r>
          </w:p>
        </w:tc>
        <w:tc>
          <w:tcPr>
            <w:tcW w:w="166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0459DC8" w14:textId="7FC5B953" w:rsidR="30D93C8E" w:rsidRDefault="1D898C60" w:rsidP="0FF8C3A4">
            <w:pPr>
              <w:spacing w:after="0" w:line="276" w:lineRule="auto"/>
              <w:jc w:val="center"/>
              <w:rPr>
                <w:rFonts w:eastAsia="Arial" w:cs="Arial"/>
              </w:rPr>
            </w:pPr>
            <w:r w:rsidRPr="0FF8C3A4">
              <w:rPr>
                <w:rFonts w:eastAsia="Arial" w:cs="Arial"/>
              </w:rPr>
              <w:t>5.94% ± 0.23</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D4BD37" w14:textId="1DD1FCA7" w:rsidR="30D93C8E" w:rsidRDefault="1D898C60" w:rsidP="0FF8C3A4">
            <w:pPr>
              <w:spacing w:after="0" w:line="276" w:lineRule="auto"/>
              <w:jc w:val="center"/>
              <w:rPr>
                <w:rFonts w:eastAsia="Arial" w:cs="Arial"/>
              </w:rPr>
            </w:pPr>
            <w:r w:rsidRPr="0FF8C3A4">
              <w:rPr>
                <w:rFonts w:eastAsia="Arial" w:cs="Arial"/>
              </w:rPr>
              <w:t>-</w:t>
            </w:r>
          </w:p>
        </w:tc>
      </w:tr>
    </w:tbl>
    <w:p w14:paraId="7CAF6D3C" w14:textId="0CF03630" w:rsidR="30D93C8E" w:rsidRDefault="30D93C8E" w:rsidP="13C70224">
      <w:pPr>
        <w:spacing w:line="276" w:lineRule="auto"/>
        <w:jc w:val="both"/>
        <w:rPr>
          <w:rFonts w:eastAsia="Arial" w:cs="Arial"/>
        </w:rPr>
      </w:pPr>
    </w:p>
    <w:p w14:paraId="254E4A7E" w14:textId="3893A19A" w:rsidR="78D56068" w:rsidRDefault="78D56068" w:rsidP="13C70224">
      <w:pPr>
        <w:spacing w:line="276" w:lineRule="auto"/>
        <w:jc w:val="both"/>
        <w:rPr>
          <w:rFonts w:eastAsia="Arial" w:cs="Arial"/>
        </w:rPr>
      </w:pPr>
      <w:r w:rsidRPr="13C70224">
        <w:rPr>
          <w:rFonts w:eastAsia="Arial" w:cs="Arial"/>
        </w:rPr>
        <w:lastRenderedPageBreak/>
        <w:t>Le pH-KCl mesuré par le laboratoire BW présentait des variations suffisantes, au regard de l’erreur de mesure, pour être utilisé et interprété dans les comparaisons avec les solutions de cartographie des sols.</w:t>
      </w:r>
    </w:p>
    <w:p w14:paraId="38CD6F88" w14:textId="31C99CC1" w:rsidR="39A1295F" w:rsidRDefault="39A1295F" w:rsidP="13C70224">
      <w:pPr>
        <w:spacing w:line="276" w:lineRule="auto"/>
        <w:jc w:val="both"/>
        <w:rPr>
          <w:rFonts w:eastAsia="Arial" w:cs="Arial"/>
        </w:rPr>
      </w:pPr>
    </w:p>
    <w:p w14:paraId="638A3AA6" w14:textId="76B2B281" w:rsidR="3C772AEE" w:rsidRDefault="47BED72E" w:rsidP="13C70224">
      <w:pPr>
        <w:pStyle w:val="Titre4"/>
        <w:spacing w:line="276" w:lineRule="auto"/>
        <w:jc w:val="both"/>
        <w:rPr>
          <w:rFonts w:eastAsia="Arial" w:cs="Arial"/>
        </w:rPr>
      </w:pPr>
      <w:r w:rsidRPr="13C70224">
        <w:rPr>
          <w:rFonts w:eastAsia="Arial" w:cs="Arial"/>
        </w:rPr>
        <w:t>Veris MSP3</w:t>
      </w:r>
    </w:p>
    <w:p w14:paraId="5B090C1D" w14:textId="53F39F34" w:rsidR="3C772AEE" w:rsidRDefault="43CC36A8" w:rsidP="13C70224">
      <w:pPr>
        <w:spacing w:line="276" w:lineRule="auto"/>
        <w:jc w:val="both"/>
        <w:rPr>
          <w:rFonts w:eastAsia="Arial" w:cs="Arial"/>
        </w:rPr>
      </w:pPr>
      <w:r w:rsidRPr="13C70224">
        <w:rPr>
          <w:rFonts w:eastAsia="Arial" w:cs="Arial"/>
        </w:rPr>
        <w:t>Le</w:t>
      </w:r>
      <w:r w:rsidR="545380DA" w:rsidRPr="13C70224">
        <w:rPr>
          <w:rFonts w:eastAsia="Arial" w:cs="Arial"/>
        </w:rPr>
        <w:t xml:space="preserve"> pH du sol est mesuré entre 2</w:t>
      </w:r>
      <w:r w:rsidR="69284473" w:rsidRPr="13C70224">
        <w:rPr>
          <w:rFonts w:eastAsia="Arial" w:cs="Arial"/>
        </w:rPr>
        <w:t>6.8</w:t>
      </w:r>
      <w:r w:rsidR="545380DA" w:rsidRPr="13C70224">
        <w:rPr>
          <w:rFonts w:eastAsia="Arial" w:cs="Arial"/>
        </w:rPr>
        <w:t xml:space="preserve"> et 60</w:t>
      </w:r>
      <w:r w:rsidR="0BF01F94" w:rsidRPr="13C70224">
        <w:rPr>
          <w:rFonts w:eastAsia="Arial" w:cs="Arial"/>
        </w:rPr>
        <w:t>.5</w:t>
      </w:r>
      <w:r w:rsidR="545380DA" w:rsidRPr="13C70224">
        <w:rPr>
          <w:rFonts w:eastAsia="Arial" w:cs="Arial"/>
        </w:rPr>
        <w:t xml:space="preserve"> fois par hectare</w:t>
      </w:r>
      <w:r w:rsidR="2733FD87" w:rsidRPr="13C70224">
        <w:rPr>
          <w:rFonts w:eastAsia="Arial" w:cs="Arial"/>
        </w:rPr>
        <w:t xml:space="preserve"> (</w:t>
      </w:r>
      <w:r w:rsidR="13FEBAFD" w:rsidRPr="13C70224">
        <w:rPr>
          <w:rFonts w:eastAsia="Arial" w:cs="Arial"/>
        </w:rPr>
        <w:t>figure 27</w:t>
      </w:r>
      <w:r w:rsidR="7E0B6333" w:rsidRPr="13C70224">
        <w:rPr>
          <w:rFonts w:eastAsia="Arial" w:cs="Arial"/>
        </w:rPr>
        <w:t>)</w:t>
      </w:r>
      <w:r w:rsidR="545380DA" w:rsidRPr="13C70224">
        <w:rPr>
          <w:rFonts w:eastAsia="Arial" w:cs="Arial"/>
        </w:rPr>
        <w:t xml:space="preserve">, selon la vitesse d’avancement du véhicule utilisé pour la cartographie. </w:t>
      </w:r>
    </w:p>
    <w:p w14:paraId="18287CC8" w14:textId="487B3C46" w:rsidR="3C772AEE" w:rsidRDefault="3C772AEE" w:rsidP="13C70224">
      <w:pPr>
        <w:spacing w:line="276" w:lineRule="auto"/>
        <w:jc w:val="both"/>
        <w:rPr>
          <w:rFonts w:eastAsia="Arial" w:cs="Arial"/>
        </w:rPr>
      </w:pPr>
    </w:p>
    <w:p w14:paraId="271D639B" w14:textId="77777777" w:rsidR="00E83790" w:rsidRDefault="508030F8" w:rsidP="13C70224">
      <w:pPr>
        <w:keepNext/>
        <w:spacing w:line="276" w:lineRule="auto"/>
        <w:jc w:val="both"/>
        <w:rPr>
          <w:rFonts w:eastAsia="Arial" w:cs="Arial"/>
        </w:rPr>
      </w:pPr>
      <w:r>
        <w:rPr>
          <w:noProof/>
        </w:rPr>
        <w:drawing>
          <wp:inline distT="0" distB="0" distL="0" distR="0" wp14:anchorId="74982681" wp14:editId="01324AF5">
            <wp:extent cx="5144976" cy="4143375"/>
            <wp:effectExtent l="0" t="0" r="0" b="0"/>
            <wp:docPr id="27480539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805392" name=""/>
                    <pic:cNvPicPr/>
                  </pic:nvPicPr>
                  <pic:blipFill>
                    <a:blip r:embed="rId40" cstate="screen">
                      <a:extLst>
                        <a:ext uri="{28A0092B-C50C-407E-A947-70E740481C1C}">
                          <a14:useLocalDpi xmlns:a14="http://schemas.microsoft.com/office/drawing/2010/main"/>
                        </a:ext>
                      </a:extLst>
                    </a:blip>
                    <a:stretch>
                      <a:fillRect/>
                    </a:stretch>
                  </pic:blipFill>
                  <pic:spPr>
                    <a:xfrm>
                      <a:off x="0" y="0"/>
                      <a:ext cx="5144976" cy="4143375"/>
                    </a:xfrm>
                    <a:prstGeom prst="rect">
                      <a:avLst/>
                    </a:prstGeom>
                  </pic:spPr>
                </pic:pic>
              </a:graphicData>
            </a:graphic>
          </wp:inline>
        </w:drawing>
      </w:r>
    </w:p>
    <w:p w14:paraId="2196B652" w14:textId="23152E71" w:rsidR="008857C2" w:rsidRDefault="5C845725" w:rsidP="13C70224">
      <w:pPr>
        <w:pStyle w:val="Lgende"/>
        <w:spacing w:line="276" w:lineRule="auto"/>
        <w:jc w:val="both"/>
        <w:rPr>
          <w:rFonts w:eastAsia="Arial" w:cs="Arial"/>
        </w:rPr>
      </w:pPr>
      <w:bookmarkStart w:id="15" w:name="_Ref221612249"/>
      <w:r w:rsidRPr="3BFF6491">
        <w:rPr>
          <w:rFonts w:eastAsia="Arial" w:cs="Arial"/>
        </w:rPr>
        <w:t xml:space="preserve">Figure </w:t>
      </w:r>
      <w:r w:rsidR="6EFF1DAB" w:rsidRPr="3BFF6491">
        <w:rPr>
          <w:rFonts w:eastAsia="Arial" w:cs="Arial"/>
        </w:rPr>
        <w:t>27</w:t>
      </w:r>
      <w:bookmarkEnd w:id="15"/>
      <w:r w:rsidRPr="3BFF6491">
        <w:rPr>
          <w:rFonts w:eastAsia="Arial" w:cs="Arial"/>
        </w:rPr>
        <w:t>. Carte des points de prélèvement (en orange), analysés en direct par la solution Veris MSP3 sur la parcelle Paradis. 38.1 points par hectare ont été prélevés sur cette parcelles. Une maille de 100 m × 100 m (soit 1 ha) est représentée sur la carte.</w:t>
      </w:r>
    </w:p>
    <w:p w14:paraId="4CB68E56" w14:textId="56D75B23" w:rsidR="3C772AEE" w:rsidRDefault="07DEE87C" w:rsidP="13C70224">
      <w:pPr>
        <w:spacing w:line="276" w:lineRule="auto"/>
        <w:jc w:val="both"/>
        <w:rPr>
          <w:rFonts w:eastAsia="Arial" w:cs="Arial"/>
        </w:rPr>
      </w:pPr>
      <w:r w:rsidRPr="13C70224">
        <w:rPr>
          <w:rFonts w:eastAsia="Arial" w:cs="Arial"/>
        </w:rPr>
        <w:t xml:space="preserve">Deux mesures de pH sont effectuées pour chaque échantillon de sol, puis moyennées afin d’améliorer l’exactitude et la précision des données. Les données issues du capteur Veris MSP3 ont été calibrées à l’aide d’analyses de sol réalisées par le laboratoire BDB. </w:t>
      </w:r>
      <w:r w:rsidR="4DF7E052" w:rsidRPr="13C70224">
        <w:rPr>
          <w:rFonts w:eastAsia="Arial" w:cs="Arial"/>
        </w:rPr>
        <w:t>En moyenne, sur un échantillon de six parcelles, 0,82 point d’analyse par hectare (médiane = 0,4</w:t>
      </w:r>
      <w:r w:rsidR="59E2A076" w:rsidRPr="13C70224">
        <w:rPr>
          <w:rFonts w:eastAsia="Arial" w:cs="Arial"/>
        </w:rPr>
        <w:t>7</w:t>
      </w:r>
      <w:r w:rsidR="4DF7E052" w:rsidRPr="13C70224">
        <w:rPr>
          <w:rFonts w:eastAsia="Arial" w:cs="Arial"/>
        </w:rPr>
        <w:t>) a été échantillonné pour étalonner la solution, avec un minimum de quatre points d’analyse par parcelle.</w:t>
      </w:r>
      <w:r w:rsidRPr="13C70224">
        <w:rPr>
          <w:rFonts w:eastAsia="Arial" w:cs="Arial"/>
        </w:rPr>
        <w:t xml:space="preserve"> Tous les rapports d’analyses utilisés pour cette calibration sont transmis au client de la solution.</w:t>
      </w:r>
    </w:p>
    <w:p w14:paraId="2F94E4C7" w14:textId="4472235E" w:rsidR="1D6D254B" w:rsidRDefault="1D6D254B" w:rsidP="13C70224">
      <w:pPr>
        <w:spacing w:line="276" w:lineRule="auto"/>
        <w:jc w:val="both"/>
        <w:rPr>
          <w:rFonts w:eastAsia="Arial" w:cs="Arial"/>
        </w:rPr>
      </w:pPr>
    </w:p>
    <w:p w14:paraId="2CD06FA0" w14:textId="358392B0" w:rsidR="1E12BDD1" w:rsidRDefault="4E89A6EC" w:rsidP="13C70224">
      <w:pPr>
        <w:pStyle w:val="Titre4"/>
        <w:spacing w:line="276" w:lineRule="auto"/>
        <w:jc w:val="both"/>
        <w:rPr>
          <w:rFonts w:eastAsia="Arial" w:cs="Arial"/>
        </w:rPr>
      </w:pPr>
      <w:r w:rsidRPr="13C70224">
        <w:rPr>
          <w:rFonts w:eastAsia="Arial" w:cs="Arial"/>
        </w:rPr>
        <w:t>InterraScan</w:t>
      </w:r>
    </w:p>
    <w:p w14:paraId="606F36F8" w14:textId="6980F7CF" w:rsidR="701DB2E0" w:rsidRDefault="2C56A08C" w:rsidP="13C70224">
      <w:pPr>
        <w:spacing w:line="276" w:lineRule="auto"/>
        <w:jc w:val="both"/>
        <w:rPr>
          <w:rFonts w:eastAsia="Arial" w:cs="Arial"/>
        </w:rPr>
      </w:pPr>
      <w:r w:rsidRPr="13C70224">
        <w:rPr>
          <w:rFonts w:eastAsia="Arial" w:cs="Arial"/>
        </w:rPr>
        <w:t>La</w:t>
      </w:r>
      <w:r w:rsidR="0E1A24F5" w:rsidRPr="13C70224">
        <w:rPr>
          <w:rFonts w:eastAsia="Arial" w:cs="Arial"/>
        </w:rPr>
        <w:t xml:space="preserve"> radioactivité du sol est mesurée entre 796 et 853 fois par hectare</w:t>
      </w:r>
      <w:r w:rsidR="788FE6D2" w:rsidRPr="13C70224">
        <w:rPr>
          <w:rFonts w:eastAsia="Arial" w:cs="Arial"/>
        </w:rPr>
        <w:t xml:space="preserve"> (</w:t>
      </w:r>
      <w:r w:rsidR="059692B4" w:rsidRPr="13C70224">
        <w:rPr>
          <w:rFonts w:eastAsia="Arial" w:cs="Arial"/>
        </w:rPr>
        <w:t>figure 28</w:t>
      </w:r>
      <w:r w:rsidR="788FE6D2" w:rsidRPr="13C70224">
        <w:rPr>
          <w:rFonts w:eastAsia="Arial" w:cs="Arial"/>
        </w:rPr>
        <w:t>)</w:t>
      </w:r>
      <w:r w:rsidR="0E1A24F5" w:rsidRPr="13C70224">
        <w:rPr>
          <w:rFonts w:eastAsia="Arial" w:cs="Arial"/>
        </w:rPr>
        <w:t xml:space="preserve">, en fonction de la vitesse d’avancement du véhicule utilisé pour la cartographie. </w:t>
      </w:r>
    </w:p>
    <w:p w14:paraId="6A98C442" w14:textId="5C44BF9E" w:rsidR="701DB2E0" w:rsidRDefault="701DB2E0" w:rsidP="13C70224">
      <w:pPr>
        <w:spacing w:line="276" w:lineRule="auto"/>
        <w:jc w:val="both"/>
        <w:rPr>
          <w:rFonts w:eastAsia="Arial" w:cs="Arial"/>
        </w:rPr>
      </w:pPr>
    </w:p>
    <w:p w14:paraId="1C9662D0" w14:textId="77777777" w:rsidR="00016959" w:rsidRDefault="4F4893E6" w:rsidP="13C70224">
      <w:pPr>
        <w:keepNext/>
        <w:spacing w:line="276" w:lineRule="auto"/>
        <w:jc w:val="both"/>
        <w:rPr>
          <w:rFonts w:eastAsia="Arial" w:cs="Arial"/>
        </w:rPr>
      </w:pPr>
      <w:r>
        <w:rPr>
          <w:noProof/>
        </w:rPr>
        <w:lastRenderedPageBreak/>
        <w:drawing>
          <wp:inline distT="0" distB="0" distL="0" distR="0" wp14:anchorId="3D75C4BE" wp14:editId="0172388E">
            <wp:extent cx="5248275" cy="4121773"/>
            <wp:effectExtent l="0" t="0" r="0" b="0"/>
            <wp:docPr id="66841907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19071" name=""/>
                    <pic:cNvPicPr/>
                  </pic:nvPicPr>
                  <pic:blipFill>
                    <a:blip r:embed="rId28" cstate="screen">
                      <a:extLst>
                        <a:ext uri="{28A0092B-C50C-407E-A947-70E740481C1C}">
                          <a14:useLocalDpi xmlns:a14="http://schemas.microsoft.com/office/drawing/2010/main"/>
                        </a:ext>
                      </a:extLst>
                    </a:blip>
                    <a:stretch>
                      <a:fillRect/>
                    </a:stretch>
                  </pic:blipFill>
                  <pic:spPr>
                    <a:xfrm>
                      <a:off x="0" y="0"/>
                      <a:ext cx="5248275" cy="4121773"/>
                    </a:xfrm>
                    <a:prstGeom prst="rect">
                      <a:avLst/>
                    </a:prstGeom>
                  </pic:spPr>
                </pic:pic>
              </a:graphicData>
            </a:graphic>
          </wp:inline>
        </w:drawing>
      </w:r>
    </w:p>
    <w:p w14:paraId="106CC1D4" w14:textId="55F3CEDA" w:rsidR="001955FE" w:rsidRPr="00016959" w:rsidRDefault="10C96AA7" w:rsidP="13C70224">
      <w:pPr>
        <w:pStyle w:val="Lgende"/>
        <w:spacing w:line="276" w:lineRule="auto"/>
        <w:jc w:val="both"/>
        <w:rPr>
          <w:rFonts w:eastAsia="Arial" w:cs="Arial"/>
        </w:rPr>
      </w:pPr>
      <w:bookmarkStart w:id="16" w:name="_Ref221613323"/>
      <w:r w:rsidRPr="3BFF6491">
        <w:rPr>
          <w:rFonts w:eastAsia="Arial" w:cs="Arial"/>
        </w:rPr>
        <w:t xml:space="preserve">Figure </w:t>
      </w:r>
      <w:r w:rsidR="1170838C" w:rsidRPr="3BFF6491">
        <w:rPr>
          <w:rFonts w:eastAsia="Arial" w:cs="Arial"/>
        </w:rPr>
        <w:t>28</w:t>
      </w:r>
      <w:bookmarkEnd w:id="16"/>
      <w:r w:rsidRPr="3BFF6491">
        <w:rPr>
          <w:rFonts w:eastAsia="Arial" w:cs="Arial"/>
        </w:rPr>
        <w:t>. Carte des points d'enregistrement (en orange), analysés en direct par la solution InterraScan sur la parcelle Paradis. 826 points par hectare ont été prélevés sur cette parcelles. Une maille de 100 m × 100 m (soit 1 ha) est représentée sur la carte.</w:t>
      </w:r>
    </w:p>
    <w:p w14:paraId="48C9948E" w14:textId="1BD4A052" w:rsidR="10A6CAF8" w:rsidRDefault="10A6CAF8" w:rsidP="13C70224">
      <w:pPr>
        <w:spacing w:line="276" w:lineRule="auto"/>
        <w:jc w:val="both"/>
        <w:rPr>
          <w:rFonts w:eastAsia="Arial" w:cs="Arial"/>
        </w:rPr>
      </w:pPr>
      <w:r w:rsidRPr="13C70224">
        <w:rPr>
          <w:rFonts w:eastAsia="Arial" w:cs="Arial"/>
        </w:rPr>
        <w:t>Les données issues de la solution InterraScan ont été calibrées à</w:t>
      </w:r>
      <w:r w:rsidR="02405329" w:rsidRPr="13C70224">
        <w:rPr>
          <w:rFonts w:eastAsia="Arial" w:cs="Arial"/>
        </w:rPr>
        <w:t xml:space="preserve"> l’aide </w:t>
      </w:r>
      <w:r w:rsidRPr="13C70224">
        <w:rPr>
          <w:rFonts w:eastAsia="Arial" w:cs="Arial"/>
        </w:rPr>
        <w:t>d’analyses de sol réalisées par</w:t>
      </w:r>
      <w:r w:rsidR="3B43B8BA" w:rsidRPr="13C70224">
        <w:rPr>
          <w:rFonts w:eastAsia="Arial" w:cs="Arial"/>
        </w:rPr>
        <w:t xml:space="preserve"> le laboratoire</w:t>
      </w:r>
      <w:r w:rsidRPr="13C70224">
        <w:rPr>
          <w:rFonts w:eastAsia="Arial" w:cs="Arial"/>
        </w:rPr>
        <w:t xml:space="preserve"> </w:t>
      </w:r>
      <w:proofErr w:type="spellStart"/>
      <w:r w:rsidRPr="13C70224">
        <w:rPr>
          <w:rFonts w:eastAsia="Arial" w:cs="Arial"/>
        </w:rPr>
        <w:t>Inagro</w:t>
      </w:r>
      <w:proofErr w:type="spellEnd"/>
      <w:r w:rsidRPr="13C70224">
        <w:rPr>
          <w:rFonts w:eastAsia="Arial" w:cs="Arial"/>
        </w:rPr>
        <w:t>. Les résultats de ces analyses ne sont pas fournis par défaut aux clients de la solution.</w:t>
      </w:r>
      <w:r w:rsidR="6F3E36BB" w:rsidRPr="13C70224">
        <w:rPr>
          <w:rFonts w:eastAsia="Arial" w:cs="Arial"/>
        </w:rPr>
        <w:t xml:space="preserve"> En moyenne, sur un échantillon de quatre parcelles, 0,46 point d’analyse par hectare (médiane = 0,47) a été échantillonné pour étalonner la solution, avec un minimum de quatre points d’analyse par parcelle.</w:t>
      </w:r>
    </w:p>
    <w:p w14:paraId="5950C2DF" w14:textId="30B4504F" w:rsidR="39A1295F" w:rsidRDefault="39A1295F" w:rsidP="13C70224">
      <w:pPr>
        <w:spacing w:line="276" w:lineRule="auto"/>
        <w:jc w:val="both"/>
        <w:rPr>
          <w:rFonts w:eastAsia="Arial" w:cs="Arial"/>
        </w:rPr>
      </w:pPr>
    </w:p>
    <w:p w14:paraId="0B924D45" w14:textId="3BCE8C1B" w:rsidR="15BC5C07" w:rsidRDefault="57C10EDE" w:rsidP="13C70224">
      <w:pPr>
        <w:pStyle w:val="Titre3"/>
        <w:spacing w:line="276" w:lineRule="auto"/>
        <w:jc w:val="both"/>
        <w:rPr>
          <w:rFonts w:eastAsia="Arial" w:cs="Arial"/>
        </w:rPr>
      </w:pPr>
      <w:r w:rsidRPr="13C70224">
        <w:rPr>
          <w:rFonts w:eastAsia="Arial" w:cs="Arial"/>
        </w:rPr>
        <w:t>Validation de</w:t>
      </w:r>
      <w:r w:rsidR="537489EE" w:rsidRPr="13C70224">
        <w:rPr>
          <w:rFonts w:eastAsia="Arial" w:cs="Arial"/>
        </w:rPr>
        <w:t>s données produites</w:t>
      </w:r>
    </w:p>
    <w:p w14:paraId="749C2D9A" w14:textId="61F41BE8" w:rsidR="19B9E0AD" w:rsidRDefault="6D507038" w:rsidP="13C70224">
      <w:pPr>
        <w:pStyle w:val="Titre4"/>
        <w:spacing w:line="276" w:lineRule="auto"/>
        <w:jc w:val="both"/>
        <w:rPr>
          <w:rFonts w:eastAsia="Arial" w:cs="Arial"/>
        </w:rPr>
      </w:pPr>
      <w:r w:rsidRPr="13C70224">
        <w:rPr>
          <w:rFonts w:eastAsia="Arial" w:cs="Arial"/>
        </w:rPr>
        <w:t>Référence</w:t>
      </w:r>
    </w:p>
    <w:p w14:paraId="79AF1E8E" w14:textId="12F96FC0" w:rsidR="4BB45B18" w:rsidRDefault="0172B2CE" w:rsidP="13C70224">
      <w:pPr>
        <w:pStyle w:val="Titre5"/>
        <w:spacing w:line="276" w:lineRule="auto"/>
        <w:jc w:val="both"/>
        <w:rPr>
          <w:rFonts w:eastAsia="Arial" w:cs="Arial"/>
          <w:color w:val="auto"/>
        </w:rPr>
      </w:pPr>
      <w:r w:rsidRPr="13C70224">
        <w:rPr>
          <w:rFonts w:eastAsia="Arial" w:cs="Arial"/>
        </w:rPr>
        <w:t>Variabilité des résultats inter-laboratoire</w:t>
      </w:r>
    </w:p>
    <w:p w14:paraId="5AB6BB77" w14:textId="69C48B55" w:rsidR="65396031" w:rsidRDefault="67213EB2" w:rsidP="13C70224">
      <w:pPr>
        <w:spacing w:line="276" w:lineRule="auto"/>
        <w:jc w:val="both"/>
        <w:rPr>
          <w:rFonts w:eastAsia="Arial" w:cs="Arial"/>
        </w:rPr>
      </w:pPr>
      <w:r w:rsidRPr="13C70224">
        <w:rPr>
          <w:rFonts w:eastAsia="Arial" w:cs="Arial"/>
        </w:rPr>
        <w:t xml:space="preserve">Les mesures de pH-KCl </w:t>
      </w:r>
      <w:r w:rsidR="699F1EDF" w:rsidRPr="13C70224">
        <w:rPr>
          <w:rFonts w:eastAsia="Arial" w:cs="Arial"/>
        </w:rPr>
        <w:t>produites</w:t>
      </w:r>
      <w:r w:rsidRPr="13C70224">
        <w:rPr>
          <w:rFonts w:eastAsia="Arial" w:cs="Arial"/>
        </w:rPr>
        <w:t xml:space="preserve"> par les deux laboratoires </w:t>
      </w:r>
      <w:r w:rsidR="2BF6DEB8" w:rsidRPr="13C70224">
        <w:rPr>
          <w:rFonts w:eastAsia="Arial" w:cs="Arial"/>
        </w:rPr>
        <w:t>sont comparées dans la</w:t>
      </w:r>
      <w:r w:rsidR="10C96AA7" w:rsidRPr="13C70224">
        <w:rPr>
          <w:rFonts w:eastAsia="Arial" w:cs="Arial"/>
        </w:rPr>
        <w:t xml:space="preserve"> </w:t>
      </w:r>
      <w:r w:rsidR="428BB9E6" w:rsidRPr="13C70224">
        <w:rPr>
          <w:rFonts w:eastAsia="Arial" w:cs="Arial"/>
        </w:rPr>
        <w:t>figure 29</w:t>
      </w:r>
      <w:r w:rsidR="2BF6DEB8" w:rsidRPr="13C70224">
        <w:rPr>
          <w:rFonts w:eastAsia="Arial" w:cs="Arial"/>
        </w:rPr>
        <w:t xml:space="preserve">. </w:t>
      </w:r>
    </w:p>
    <w:p w14:paraId="65183D72" w14:textId="77777777" w:rsidR="00016959" w:rsidRDefault="5F06D776" w:rsidP="3BFF6491">
      <w:pPr>
        <w:keepNext/>
        <w:spacing w:line="276" w:lineRule="auto"/>
        <w:jc w:val="center"/>
        <w:rPr>
          <w:rFonts w:eastAsia="Arial" w:cs="Arial"/>
        </w:rPr>
      </w:pPr>
      <w:r>
        <w:rPr>
          <w:noProof/>
        </w:rPr>
        <w:lastRenderedPageBreak/>
        <w:drawing>
          <wp:inline distT="0" distB="0" distL="0" distR="0" wp14:anchorId="3DF1671F" wp14:editId="3CA46D08">
            <wp:extent cx="4282862" cy="4680000"/>
            <wp:effectExtent l="0" t="0" r="3810" b="6350"/>
            <wp:docPr id="129955070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550701" name=""/>
                    <pic:cNvPicPr/>
                  </pic:nvPicPr>
                  <pic:blipFill>
                    <a:blip r:embed="rId41"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1E689FAA" w14:textId="5EFF75F4" w:rsidR="39A1295F" w:rsidRDefault="58E1A206" w:rsidP="13C70224">
      <w:pPr>
        <w:pStyle w:val="Lgende"/>
        <w:spacing w:line="276" w:lineRule="auto"/>
        <w:jc w:val="both"/>
        <w:rPr>
          <w:rFonts w:eastAsia="Arial" w:cs="Arial"/>
        </w:rPr>
      </w:pPr>
      <w:bookmarkStart w:id="17" w:name="_Ref221613408"/>
      <w:r w:rsidRPr="3BFF6491">
        <w:rPr>
          <w:rFonts w:eastAsia="Arial" w:cs="Arial"/>
        </w:rPr>
        <w:t xml:space="preserve">Figure </w:t>
      </w:r>
      <w:r w:rsidR="68E80730" w:rsidRPr="3BFF6491">
        <w:rPr>
          <w:rFonts w:eastAsia="Arial" w:cs="Arial"/>
        </w:rPr>
        <w:t>29</w:t>
      </w:r>
      <w:bookmarkEnd w:id="17"/>
      <w:r w:rsidRPr="3BFF6491">
        <w:rPr>
          <w:rFonts w:eastAsia="Arial" w:cs="Arial"/>
        </w:rPr>
        <w:t xml:space="preserve">. Comparaison des mesures de pH-KCl obtenues par les deux laboratoires. Le coefficient de concordance de Lin (CC Lin), ainsi que les indicateurs d’exactitude et de précision, sont indiqués sur la figure. Chaque point correspond à une analyse de sol. Les points plus foncés représentent un 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p w14:paraId="70FAEDDB" w14:textId="0DED46A5" w:rsidR="39A1295F" w:rsidRDefault="7B199F32" w:rsidP="13C70224">
      <w:pPr>
        <w:spacing w:line="276" w:lineRule="auto"/>
        <w:jc w:val="both"/>
        <w:rPr>
          <w:rFonts w:eastAsia="Arial" w:cs="Arial"/>
        </w:rPr>
      </w:pPr>
      <w:r w:rsidRPr="13C70224">
        <w:rPr>
          <w:rFonts w:eastAsia="Arial" w:cs="Arial"/>
        </w:rPr>
        <w:t xml:space="preserve">La corrélation des résultats entre laboratoires pour le pH était forte (précision = 0,81) avec un taux d’exactitude élevé (exactitude = 1). Ce résultat indique que la référence utilisée pour l’estimation du pH est fiable à l’échelle de l’exploitation. </w:t>
      </w:r>
    </w:p>
    <w:p w14:paraId="6565BAFE" w14:textId="70E19397" w:rsidR="39A1295F" w:rsidRDefault="7B199F32" w:rsidP="13C70224">
      <w:pPr>
        <w:spacing w:line="276" w:lineRule="auto"/>
        <w:jc w:val="both"/>
        <w:rPr>
          <w:rFonts w:eastAsia="Arial" w:cs="Arial"/>
        </w:rPr>
      </w:pPr>
      <w:r w:rsidRPr="13C70224">
        <w:rPr>
          <w:rFonts w:eastAsia="Arial" w:cs="Arial"/>
        </w:rPr>
        <w:t>Il existe néanmoins de fortes disparités lorsque l’on compare les</w:t>
      </w:r>
      <w:r w:rsidR="199D21C6" w:rsidRPr="13C70224">
        <w:rPr>
          <w:rFonts w:eastAsia="Arial" w:cs="Arial"/>
        </w:rPr>
        <w:t xml:space="preserve"> résultats des</w:t>
      </w:r>
      <w:r w:rsidRPr="13C70224">
        <w:rPr>
          <w:rFonts w:eastAsia="Arial" w:cs="Arial"/>
        </w:rPr>
        <w:t xml:space="preserve"> laboratoires à l’échelle des parcelles, avec 9 parcelles présentant une précision élevée à très élevée et 4 parcelles affichant une précision modérée à faible.</w:t>
      </w:r>
      <w:r w:rsidR="292E037F" w:rsidRPr="13C70224">
        <w:rPr>
          <w:rFonts w:eastAsia="Arial" w:cs="Arial"/>
        </w:rPr>
        <w:t xml:space="preserve"> </w:t>
      </w:r>
      <w:r w:rsidR="12705796" w:rsidRPr="13C70224">
        <w:rPr>
          <w:rFonts w:eastAsia="Arial" w:cs="Arial"/>
        </w:rPr>
        <w:t xml:space="preserve">Les comparaisons par parcelle sont plus sujettes aux fluctuations aléatoires en raison du faible nombre d’observations disponibles pour calculer les statistiques étudiées. Par conséquent, ces </w:t>
      </w:r>
      <w:r w:rsidR="4CDF9AE8" w:rsidRPr="13C70224">
        <w:rPr>
          <w:rFonts w:eastAsia="Arial" w:cs="Arial"/>
        </w:rPr>
        <w:t xml:space="preserve">comparaisons à l’échelle de la parcelle </w:t>
      </w:r>
      <w:r w:rsidR="12705796" w:rsidRPr="13C70224">
        <w:rPr>
          <w:rFonts w:eastAsia="Arial" w:cs="Arial"/>
        </w:rPr>
        <w:t>doivent être interprétées avec davantage de prudence que celles réalisées à l’échelle de l’exploitation.</w:t>
      </w:r>
    </w:p>
    <w:p w14:paraId="420D0DAD" w14:textId="5EE0F1A9" w:rsidR="41D2CDA0" w:rsidRDefault="04F6E668" w:rsidP="13C70224">
      <w:pPr>
        <w:spacing w:line="276" w:lineRule="auto"/>
        <w:jc w:val="both"/>
        <w:rPr>
          <w:rFonts w:eastAsia="Arial" w:cs="Arial"/>
        </w:rPr>
      </w:pPr>
      <w:r w:rsidRPr="13C70224">
        <w:rPr>
          <w:rFonts w:eastAsia="Arial" w:cs="Arial"/>
        </w:rPr>
        <w:t xml:space="preserve">Ainsi, si l’on observe déjà, à l’échelle de la parcelle, que </w:t>
      </w:r>
      <w:r w:rsidR="180838BE" w:rsidRPr="13C70224">
        <w:rPr>
          <w:rFonts w:eastAsia="Arial" w:cs="Arial"/>
        </w:rPr>
        <w:t>31</w:t>
      </w:r>
      <w:r w:rsidR="48133CE7" w:rsidRPr="13C70224">
        <w:rPr>
          <w:rFonts w:eastAsia="Arial" w:cs="Arial"/>
        </w:rPr>
        <w:t>% des comparaisons à l’échelle de la parcelle présentent une précision</w:t>
      </w:r>
      <w:r w:rsidRPr="13C70224">
        <w:rPr>
          <w:rFonts w:eastAsia="Arial" w:cs="Arial"/>
        </w:rPr>
        <w:t xml:space="preserve"> seulement moyenne alors que les analyses de sol de laboratoire servent ici de référence, il est logique de s’attendre à ce que les résultats obtenus avec les solutions Veris MSP3 et InterraScan soient également plus variables</w:t>
      </w:r>
      <w:r w:rsidR="46567188" w:rsidRPr="13C70224">
        <w:rPr>
          <w:rFonts w:eastAsia="Arial" w:cs="Arial"/>
        </w:rPr>
        <w:t xml:space="preserve"> à l’échelle de la parcelle</w:t>
      </w:r>
      <w:r w:rsidRPr="13C70224">
        <w:rPr>
          <w:rFonts w:eastAsia="Arial" w:cs="Arial"/>
        </w:rPr>
        <w:t>.</w:t>
      </w:r>
      <w:r w:rsidR="58D65B45" w:rsidRPr="13C70224">
        <w:rPr>
          <w:rFonts w:eastAsia="Arial" w:cs="Arial"/>
        </w:rPr>
        <w:t xml:space="preserve"> </w:t>
      </w:r>
      <w:r w:rsidRPr="13C70224">
        <w:rPr>
          <w:rFonts w:eastAsia="Arial" w:cs="Arial"/>
        </w:rPr>
        <w:t>Cela souligne l’importance de nuancer l’interprétation des performances de ces outils à l’échelle fine de la parcelle, tout en gardant en tête l</w:t>
      </w:r>
      <w:r w:rsidR="5C9412E7" w:rsidRPr="13C70224">
        <w:rPr>
          <w:rFonts w:eastAsia="Arial" w:cs="Arial"/>
        </w:rPr>
        <w:t>a</w:t>
      </w:r>
      <w:r w:rsidRPr="13C70224">
        <w:rPr>
          <w:rFonts w:eastAsia="Arial" w:cs="Arial"/>
        </w:rPr>
        <w:t xml:space="preserve"> robustesse globale</w:t>
      </w:r>
      <w:r w:rsidR="4FDAF668" w:rsidRPr="13C70224">
        <w:rPr>
          <w:rFonts w:eastAsia="Arial" w:cs="Arial"/>
        </w:rPr>
        <w:t xml:space="preserve"> de la référence</w:t>
      </w:r>
      <w:r w:rsidRPr="13C70224">
        <w:rPr>
          <w:rFonts w:eastAsia="Arial" w:cs="Arial"/>
        </w:rPr>
        <w:t xml:space="preserve"> à l’échelle de l’exploitation.</w:t>
      </w:r>
    </w:p>
    <w:p w14:paraId="3D2FAC17" w14:textId="059A4DC8" w:rsidR="74E0005B" w:rsidRDefault="74E0005B" w:rsidP="13C70224">
      <w:pPr>
        <w:spacing w:line="276" w:lineRule="auto"/>
        <w:jc w:val="both"/>
        <w:rPr>
          <w:rFonts w:eastAsia="Arial" w:cs="Arial"/>
        </w:rPr>
      </w:pPr>
    </w:p>
    <w:p w14:paraId="3BDD57F9" w14:textId="5C0563E1" w:rsidR="74E0005B" w:rsidRDefault="7BE07F95" w:rsidP="13C70224">
      <w:pPr>
        <w:pStyle w:val="Titre5"/>
        <w:spacing w:line="276" w:lineRule="auto"/>
        <w:jc w:val="both"/>
        <w:rPr>
          <w:rFonts w:eastAsia="Arial" w:cs="Arial"/>
          <w:color w:val="auto"/>
        </w:rPr>
      </w:pPr>
      <w:r w:rsidRPr="13C70224">
        <w:rPr>
          <w:rFonts w:eastAsia="Arial" w:cs="Arial"/>
        </w:rPr>
        <w:lastRenderedPageBreak/>
        <w:t>Variabilité des résultats intra-laboratoire</w:t>
      </w:r>
    </w:p>
    <w:p w14:paraId="68531FDD" w14:textId="65F89437" w:rsidR="76D41042" w:rsidRDefault="264AC024" w:rsidP="13C70224">
      <w:pPr>
        <w:spacing w:line="276" w:lineRule="auto"/>
        <w:jc w:val="both"/>
        <w:rPr>
          <w:rFonts w:eastAsia="Arial" w:cs="Arial"/>
        </w:rPr>
      </w:pPr>
      <w:r w:rsidRPr="13C70224">
        <w:rPr>
          <w:rFonts w:eastAsia="Arial" w:cs="Arial"/>
        </w:rPr>
        <w:t>Sur trois points d’analyse, deux échantillons de sol ont été prélevés et analysés par le laboratoire BW. L’objectif était d’évaluer l’effet du mode d’échantillonnage sur les résultats analytiques ainsi que de quantifier la variabilité intra‑laboratoire.</w:t>
      </w:r>
    </w:p>
    <w:p w14:paraId="1DE4E8A5" w14:textId="5D704CEA" w:rsidR="76D41042" w:rsidRDefault="17F22C69" w:rsidP="13C70224">
      <w:pPr>
        <w:spacing w:line="276" w:lineRule="auto"/>
        <w:jc w:val="both"/>
        <w:rPr>
          <w:rFonts w:eastAsia="Arial" w:cs="Arial"/>
        </w:rPr>
      </w:pPr>
      <w:r w:rsidRPr="0FF8C3A4">
        <w:rPr>
          <w:rFonts w:eastAsia="Arial" w:cs="Arial"/>
        </w:rPr>
        <w:t>Pour le pH-KCl, la variabilité intra‑laboratoire observée était en moyenne de ±</w:t>
      </w:r>
      <w:r w:rsidR="5323C430" w:rsidRPr="0FF8C3A4">
        <w:rPr>
          <w:rFonts w:eastAsia="Arial" w:cs="Arial"/>
        </w:rPr>
        <w:t xml:space="preserve"> </w:t>
      </w:r>
      <w:r w:rsidRPr="0FF8C3A4">
        <w:rPr>
          <w:rFonts w:eastAsia="Arial" w:cs="Arial"/>
        </w:rPr>
        <w:t>0,03.</w:t>
      </w:r>
    </w:p>
    <w:p w14:paraId="4C32129F" w14:textId="64719517" w:rsidR="7FCBA7A1" w:rsidRDefault="7FCBA7A1" w:rsidP="13C70224">
      <w:pPr>
        <w:spacing w:line="276" w:lineRule="auto"/>
        <w:jc w:val="both"/>
        <w:rPr>
          <w:rFonts w:eastAsia="Arial" w:cs="Arial"/>
        </w:rPr>
      </w:pPr>
    </w:p>
    <w:p w14:paraId="7A9303AC" w14:textId="420798A4" w:rsidR="77BBA00F" w:rsidRDefault="2B4EF697" w:rsidP="13C70224">
      <w:pPr>
        <w:pStyle w:val="Titre4"/>
        <w:spacing w:line="276" w:lineRule="auto"/>
        <w:jc w:val="both"/>
        <w:rPr>
          <w:rFonts w:eastAsia="Arial" w:cs="Arial"/>
        </w:rPr>
      </w:pPr>
      <w:r w:rsidRPr="13C70224">
        <w:rPr>
          <w:rFonts w:eastAsia="Arial" w:cs="Arial"/>
        </w:rPr>
        <w:t>Veris MSP3</w:t>
      </w:r>
    </w:p>
    <w:p w14:paraId="2C174B54" w14:textId="7130565C" w:rsidR="65221836" w:rsidRDefault="55833B6D" w:rsidP="13C70224">
      <w:pPr>
        <w:spacing w:line="276" w:lineRule="auto"/>
        <w:jc w:val="both"/>
        <w:rPr>
          <w:rFonts w:eastAsia="Arial" w:cs="Arial"/>
        </w:rPr>
      </w:pPr>
      <w:r w:rsidRPr="13C70224">
        <w:rPr>
          <w:rFonts w:eastAsia="Arial" w:cs="Arial"/>
        </w:rPr>
        <w:t xml:space="preserve">Les mesures de pH-KCl produites par le laboratoire BW et les mesures de pH de la solution </w:t>
      </w:r>
      <w:r w:rsidR="13562A8B" w:rsidRPr="13C70224">
        <w:rPr>
          <w:rFonts w:eastAsia="Arial" w:cs="Arial"/>
        </w:rPr>
        <w:t>V</w:t>
      </w:r>
      <w:r w:rsidRPr="13C70224">
        <w:rPr>
          <w:rFonts w:eastAsia="Arial" w:cs="Arial"/>
        </w:rPr>
        <w:t>eris MSP3 sont comparées dans la</w:t>
      </w:r>
      <w:r w:rsidR="13CA4C08" w:rsidRPr="13C70224">
        <w:rPr>
          <w:rFonts w:eastAsia="Arial" w:cs="Arial"/>
        </w:rPr>
        <w:t xml:space="preserve"> </w:t>
      </w:r>
      <w:r w:rsidR="32B25BE6" w:rsidRPr="13C70224">
        <w:rPr>
          <w:rFonts w:eastAsia="Arial" w:cs="Arial"/>
        </w:rPr>
        <w:t>figure 30</w:t>
      </w:r>
      <w:r w:rsidRPr="13C70224">
        <w:rPr>
          <w:rFonts w:eastAsia="Arial" w:cs="Arial"/>
        </w:rPr>
        <w:t>.</w:t>
      </w:r>
    </w:p>
    <w:p w14:paraId="01F50B52" w14:textId="77777777" w:rsidR="0038148A" w:rsidRDefault="16F31FAA" w:rsidP="3BFF6491">
      <w:pPr>
        <w:keepNext/>
        <w:spacing w:line="276" w:lineRule="auto"/>
        <w:jc w:val="center"/>
        <w:rPr>
          <w:rFonts w:eastAsia="Arial" w:cs="Arial"/>
        </w:rPr>
      </w:pPr>
      <w:r>
        <w:rPr>
          <w:noProof/>
        </w:rPr>
        <w:drawing>
          <wp:inline distT="0" distB="0" distL="0" distR="0" wp14:anchorId="370326F3" wp14:editId="4687F102">
            <wp:extent cx="4282862" cy="4680000"/>
            <wp:effectExtent l="0" t="0" r="3810" b="6350"/>
            <wp:docPr id="95156924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569246" name=""/>
                    <pic:cNvPicPr/>
                  </pic:nvPicPr>
                  <pic:blipFill>
                    <a:blip r:embed="rId42"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417C3482" w14:textId="20AD88FE" w:rsidR="0038148A" w:rsidRPr="00461220" w:rsidRDefault="3FF3B121" w:rsidP="13C70224">
      <w:pPr>
        <w:pStyle w:val="Lgende"/>
        <w:spacing w:line="276" w:lineRule="auto"/>
        <w:jc w:val="both"/>
        <w:rPr>
          <w:rFonts w:eastAsia="Arial" w:cs="Arial"/>
        </w:rPr>
      </w:pPr>
      <w:bookmarkStart w:id="18" w:name="_Ref221613733"/>
      <w:r w:rsidRPr="3BFF6491">
        <w:rPr>
          <w:rFonts w:eastAsia="Arial" w:cs="Arial"/>
        </w:rPr>
        <w:t xml:space="preserve">Figure </w:t>
      </w:r>
      <w:r w:rsidR="69540FD9" w:rsidRPr="3BFF6491">
        <w:rPr>
          <w:rFonts w:eastAsia="Arial" w:cs="Arial"/>
        </w:rPr>
        <w:t>30</w:t>
      </w:r>
      <w:bookmarkEnd w:id="18"/>
      <w:r w:rsidRPr="3BFF6491">
        <w:rPr>
          <w:rFonts w:eastAsia="Arial" w:cs="Arial"/>
        </w:rPr>
        <w:t xml:space="preserve">. Comparaison des mesures de pH-KCl produites par le laboratoire BW et de pH de la solution </w:t>
      </w:r>
      <w:proofErr w:type="spellStart"/>
      <w:r w:rsidRPr="3BFF6491">
        <w:rPr>
          <w:rFonts w:eastAsia="Arial" w:cs="Arial"/>
        </w:rPr>
        <w:t>veris</w:t>
      </w:r>
      <w:proofErr w:type="spellEnd"/>
      <w:r w:rsidRPr="3BFF6491">
        <w:rPr>
          <w:rFonts w:eastAsia="Arial" w:cs="Arial"/>
        </w:rPr>
        <w:t xml:space="preserve"> MSP3. Le coefficient de concordance de Lin (CC Lin), ainsi que les indicateurs d’exactitude et de précision, sont indiqués sur la figure. Chaque point </w:t>
      </w:r>
      <w:bookmarkStart w:id="19" w:name="_Ref211343902"/>
      <w:r w:rsidRPr="3BFF6491">
        <w:rPr>
          <w:rFonts w:eastAsia="Arial" w:cs="Arial"/>
        </w:rPr>
        <w:t xml:space="preserve">correspond à une analyse de sol. Les points plus foncés représentent un sous-échantillon des données utilisé lors de l’étape de </w:t>
      </w:r>
      <w:proofErr w:type="spellStart"/>
      <w:r w:rsidRPr="3BFF6491">
        <w:rPr>
          <w:rFonts w:eastAsia="Arial" w:cs="Arial"/>
        </w:rPr>
        <w:t>bootstrapping</w:t>
      </w:r>
      <w:proofErr w:type="spellEnd"/>
      <w:r w:rsidRPr="3BFF6491">
        <w:rPr>
          <w:rFonts w:eastAsia="Arial" w:cs="Arial"/>
        </w:rPr>
        <w:t>. La ligne en pointillé indique la ligne d’identité entre les deux variables comparées.</w:t>
      </w:r>
    </w:p>
    <w:bookmarkEnd w:id="19"/>
    <w:p w14:paraId="31EC7706" w14:textId="71F6D6F2" w:rsidR="6E46ABB0" w:rsidRDefault="3BFF9686" w:rsidP="13C70224">
      <w:pPr>
        <w:spacing w:before="240" w:after="159" w:line="276" w:lineRule="auto"/>
        <w:jc w:val="both"/>
        <w:rPr>
          <w:rFonts w:eastAsia="Arial" w:cs="Arial"/>
        </w:rPr>
      </w:pPr>
      <w:r w:rsidRPr="13C70224">
        <w:rPr>
          <w:rFonts w:eastAsia="Arial" w:cs="Arial"/>
        </w:rPr>
        <w:t xml:space="preserve">La cohérence des résultats entre le laboratoire et la solution Veris MSP3 pour le pH était modérée (précision = 0,57), tout en présentant un taux d’exactitude élevé (exactitude = 0,83). </w:t>
      </w:r>
    </w:p>
    <w:p w14:paraId="5ADD14AF" w14:textId="299B6021" w:rsidR="7C0D8554" w:rsidRDefault="09521506" w:rsidP="13C70224">
      <w:pPr>
        <w:spacing w:after="159" w:line="276" w:lineRule="auto"/>
        <w:jc w:val="both"/>
        <w:rPr>
          <w:rFonts w:eastAsia="Arial" w:cs="Arial"/>
        </w:rPr>
      </w:pPr>
      <w:r w:rsidRPr="13C70224">
        <w:rPr>
          <w:rFonts w:eastAsia="Arial" w:cs="Arial"/>
        </w:rPr>
        <w:t>Ensuite, on peut noter qu’il existait de fortes disparités</w:t>
      </w:r>
      <w:r w:rsidR="094DCBD5" w:rsidRPr="13C70224">
        <w:rPr>
          <w:rFonts w:eastAsia="Arial" w:cs="Arial"/>
        </w:rPr>
        <w:t xml:space="preserve"> sur la précision des comparaisons </w:t>
      </w:r>
      <w:r w:rsidRPr="13C70224">
        <w:rPr>
          <w:rFonts w:eastAsia="Arial" w:cs="Arial"/>
        </w:rPr>
        <w:t>entre les parcelles étudiées.</w:t>
      </w:r>
      <w:r w:rsidR="42AAC988" w:rsidRPr="13C70224">
        <w:rPr>
          <w:rFonts w:eastAsia="Arial" w:cs="Arial"/>
        </w:rPr>
        <w:t xml:space="preserve"> </w:t>
      </w:r>
      <w:r w:rsidR="4FB55A9E" w:rsidRPr="13C70224">
        <w:rPr>
          <w:rFonts w:eastAsia="Arial" w:cs="Arial"/>
        </w:rPr>
        <w:t>L</w:t>
      </w:r>
      <w:r w:rsidR="3E53CC58" w:rsidRPr="13C70224">
        <w:rPr>
          <w:rFonts w:eastAsia="Arial" w:cs="Arial"/>
        </w:rPr>
        <w:t>es</w:t>
      </w:r>
      <w:r w:rsidR="54E2404D" w:rsidRPr="13C70224">
        <w:rPr>
          <w:rFonts w:eastAsia="Arial" w:cs="Arial"/>
        </w:rPr>
        <w:t xml:space="preserve"> précision</w:t>
      </w:r>
      <w:r w:rsidR="6A3CBAD2" w:rsidRPr="13C70224">
        <w:rPr>
          <w:rFonts w:eastAsia="Arial" w:cs="Arial"/>
        </w:rPr>
        <w:t>s</w:t>
      </w:r>
      <w:r w:rsidR="54E2404D" w:rsidRPr="13C70224">
        <w:rPr>
          <w:rFonts w:eastAsia="Arial" w:cs="Arial"/>
        </w:rPr>
        <w:t xml:space="preserve"> des </w:t>
      </w:r>
      <w:r w:rsidR="4FB55A9E" w:rsidRPr="13C70224">
        <w:rPr>
          <w:rFonts w:eastAsia="Arial" w:cs="Arial"/>
        </w:rPr>
        <w:t>résultats</w:t>
      </w:r>
      <w:r w:rsidR="3DE40A45" w:rsidRPr="13C70224">
        <w:rPr>
          <w:rFonts w:eastAsia="Arial" w:cs="Arial"/>
        </w:rPr>
        <w:t xml:space="preserve"> </w:t>
      </w:r>
      <w:r w:rsidR="4FB55A9E" w:rsidRPr="13C70224">
        <w:rPr>
          <w:rFonts w:eastAsia="Arial" w:cs="Arial"/>
        </w:rPr>
        <w:t>étaient</w:t>
      </w:r>
      <w:r w:rsidR="42AAC988" w:rsidRPr="13C70224">
        <w:rPr>
          <w:rFonts w:eastAsia="Arial" w:cs="Arial"/>
        </w:rPr>
        <w:t xml:space="preserve"> faibles ou négligeables</w:t>
      </w:r>
      <w:r w:rsidR="71251EB0" w:rsidRPr="13C70224">
        <w:rPr>
          <w:rFonts w:eastAsia="Arial" w:cs="Arial"/>
        </w:rPr>
        <w:t xml:space="preserve"> pour </w:t>
      </w:r>
      <w:r w:rsidR="3CAC267E" w:rsidRPr="13C70224">
        <w:rPr>
          <w:rFonts w:eastAsia="Arial" w:cs="Arial"/>
        </w:rPr>
        <w:t>27</w:t>
      </w:r>
      <w:r w:rsidR="666A4CFF" w:rsidRPr="13C70224">
        <w:rPr>
          <w:rFonts w:eastAsia="Arial" w:cs="Arial"/>
        </w:rPr>
        <w:t>% (</w:t>
      </w:r>
      <w:r w:rsidR="2C81856F" w:rsidRPr="13C70224">
        <w:rPr>
          <w:rFonts w:eastAsia="Arial" w:cs="Arial"/>
        </w:rPr>
        <w:t>4</w:t>
      </w:r>
      <w:r w:rsidR="4D660F9C" w:rsidRPr="13C70224">
        <w:rPr>
          <w:rFonts w:eastAsia="Arial" w:cs="Arial"/>
        </w:rPr>
        <w:t>/15)</w:t>
      </w:r>
      <w:r w:rsidR="71E35761" w:rsidRPr="13C70224">
        <w:rPr>
          <w:rFonts w:eastAsia="Arial" w:cs="Arial"/>
        </w:rPr>
        <w:t xml:space="preserve"> des </w:t>
      </w:r>
      <w:r w:rsidR="71251EB0" w:rsidRPr="13C70224">
        <w:rPr>
          <w:rFonts w:eastAsia="Arial" w:cs="Arial"/>
        </w:rPr>
        <w:t>parcelles</w:t>
      </w:r>
      <w:r w:rsidR="42AAC988" w:rsidRPr="13C70224">
        <w:rPr>
          <w:rFonts w:eastAsia="Arial" w:cs="Arial"/>
        </w:rPr>
        <w:t xml:space="preserve">, </w:t>
      </w:r>
      <w:r w:rsidR="3493A8FE" w:rsidRPr="13C70224">
        <w:rPr>
          <w:rFonts w:eastAsia="Arial" w:cs="Arial"/>
        </w:rPr>
        <w:t xml:space="preserve">modérés pour </w:t>
      </w:r>
      <w:r w:rsidR="3813A6F3" w:rsidRPr="13C70224">
        <w:rPr>
          <w:rFonts w:eastAsia="Arial" w:cs="Arial"/>
        </w:rPr>
        <w:t>53</w:t>
      </w:r>
      <w:r w:rsidR="29632637" w:rsidRPr="13C70224">
        <w:rPr>
          <w:rFonts w:eastAsia="Arial" w:cs="Arial"/>
        </w:rPr>
        <w:t>% (</w:t>
      </w:r>
      <w:r w:rsidR="1720713E" w:rsidRPr="13C70224">
        <w:rPr>
          <w:rFonts w:eastAsia="Arial" w:cs="Arial"/>
        </w:rPr>
        <w:t>8</w:t>
      </w:r>
      <w:r w:rsidR="7BA6311F" w:rsidRPr="13C70224">
        <w:rPr>
          <w:rFonts w:eastAsia="Arial" w:cs="Arial"/>
        </w:rPr>
        <w:t>/15) des</w:t>
      </w:r>
      <w:r w:rsidR="42AAC988" w:rsidRPr="13C70224">
        <w:rPr>
          <w:rFonts w:eastAsia="Arial" w:cs="Arial"/>
        </w:rPr>
        <w:t xml:space="preserve"> parcelles et</w:t>
      </w:r>
      <w:r w:rsidR="4399F67A" w:rsidRPr="13C70224">
        <w:rPr>
          <w:rFonts w:eastAsia="Arial" w:cs="Arial"/>
        </w:rPr>
        <w:t xml:space="preserve"> fortes à très fortes pour</w:t>
      </w:r>
      <w:r w:rsidR="42AAC988" w:rsidRPr="13C70224">
        <w:rPr>
          <w:rFonts w:eastAsia="Arial" w:cs="Arial"/>
        </w:rPr>
        <w:t xml:space="preserve"> </w:t>
      </w:r>
      <w:r w:rsidR="2B7B6257" w:rsidRPr="13C70224">
        <w:rPr>
          <w:rFonts w:eastAsia="Arial" w:cs="Arial"/>
        </w:rPr>
        <w:t>2</w:t>
      </w:r>
      <w:r w:rsidR="7B3F8654" w:rsidRPr="13C70224">
        <w:rPr>
          <w:rFonts w:eastAsia="Arial" w:cs="Arial"/>
        </w:rPr>
        <w:t>0</w:t>
      </w:r>
      <w:r w:rsidR="2B7B6257" w:rsidRPr="13C70224">
        <w:rPr>
          <w:rFonts w:eastAsia="Arial" w:cs="Arial"/>
        </w:rPr>
        <w:t>% (</w:t>
      </w:r>
      <w:r w:rsidR="211C3782" w:rsidRPr="13C70224">
        <w:rPr>
          <w:rFonts w:eastAsia="Arial" w:cs="Arial"/>
        </w:rPr>
        <w:t>3</w:t>
      </w:r>
      <w:r w:rsidR="347F57CD" w:rsidRPr="13C70224">
        <w:rPr>
          <w:rFonts w:eastAsia="Arial" w:cs="Arial"/>
        </w:rPr>
        <w:t>/15)</w:t>
      </w:r>
      <w:r w:rsidR="42AAC988" w:rsidRPr="13C70224">
        <w:rPr>
          <w:rFonts w:eastAsia="Arial" w:cs="Arial"/>
        </w:rPr>
        <w:t xml:space="preserve"> parcelles</w:t>
      </w:r>
      <w:r w:rsidR="3873B743" w:rsidRPr="13C70224">
        <w:rPr>
          <w:rFonts w:eastAsia="Arial" w:cs="Arial"/>
        </w:rPr>
        <w:t xml:space="preserve"> (</w:t>
      </w:r>
      <w:r w:rsidR="7B6CF341" w:rsidRPr="13C70224">
        <w:rPr>
          <w:rFonts w:eastAsia="Arial" w:cs="Arial"/>
        </w:rPr>
        <w:t>figure 31</w:t>
      </w:r>
      <w:r w:rsidR="75736776" w:rsidRPr="13C70224">
        <w:rPr>
          <w:rFonts w:eastAsia="Arial" w:cs="Arial"/>
        </w:rPr>
        <w:t xml:space="preserve">, matrice </w:t>
      </w:r>
      <w:r w:rsidR="429CA742" w:rsidRPr="13C70224">
        <w:rPr>
          <w:rFonts w:eastAsia="Arial" w:cs="Arial"/>
        </w:rPr>
        <w:t>supérieure</w:t>
      </w:r>
      <w:r w:rsidR="3873B743" w:rsidRPr="13C70224">
        <w:rPr>
          <w:rFonts w:eastAsia="Arial" w:cs="Arial"/>
        </w:rPr>
        <w:t>).</w:t>
      </w:r>
      <w:r w:rsidR="72CAADB4" w:rsidRPr="13C70224">
        <w:rPr>
          <w:rFonts w:eastAsia="Arial" w:cs="Arial"/>
        </w:rPr>
        <w:t xml:space="preserve"> </w:t>
      </w:r>
    </w:p>
    <w:p w14:paraId="39BA90CC" w14:textId="77777777" w:rsidR="00CA3239" w:rsidRDefault="0419C848" w:rsidP="0FF8C3A4">
      <w:pPr>
        <w:keepNext/>
        <w:spacing w:after="159" w:line="276" w:lineRule="auto"/>
        <w:jc w:val="center"/>
        <w:rPr>
          <w:rFonts w:eastAsia="Arial" w:cs="Arial"/>
        </w:rPr>
      </w:pPr>
      <w:r>
        <w:rPr>
          <w:noProof/>
        </w:rPr>
        <w:lastRenderedPageBreak/>
        <w:drawing>
          <wp:inline distT="0" distB="0" distL="0" distR="0" wp14:anchorId="3A0AC37C" wp14:editId="58F079EB">
            <wp:extent cx="5039843" cy="2879164"/>
            <wp:effectExtent l="0" t="0" r="8890" b="0"/>
            <wp:docPr id="161001040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10407" name=""/>
                    <pic:cNvPicPr/>
                  </pic:nvPicPr>
                  <pic:blipFill>
                    <a:blip r:embed="rId43"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37259344" w14:textId="2B4CB0D5" w:rsidR="7C0D8554" w:rsidRPr="00CA3239" w:rsidRDefault="654E15C6" w:rsidP="13C70224">
      <w:pPr>
        <w:pStyle w:val="Lgende"/>
        <w:spacing w:line="276" w:lineRule="auto"/>
        <w:jc w:val="both"/>
        <w:rPr>
          <w:rFonts w:eastAsia="Arial" w:cs="Arial"/>
          <w:sz w:val="20"/>
          <w:szCs w:val="20"/>
        </w:rPr>
      </w:pPr>
      <w:bookmarkStart w:id="20" w:name="_Ref221613967"/>
      <w:r w:rsidRPr="3BFF6491">
        <w:rPr>
          <w:rFonts w:eastAsia="Arial" w:cs="Arial"/>
        </w:rPr>
        <w:t xml:space="preserve">Figure </w:t>
      </w:r>
      <w:r w:rsidR="3EACD815" w:rsidRPr="3BFF6491">
        <w:rPr>
          <w:rFonts w:eastAsia="Arial" w:cs="Arial"/>
        </w:rPr>
        <w:t>31</w:t>
      </w:r>
      <w:bookmarkEnd w:id="20"/>
      <w:r w:rsidRPr="3BFF6491">
        <w:rPr>
          <w:rFonts w:eastAsia="Arial" w:cs="Arial"/>
        </w:rPr>
        <w:t>. Matrices de corrélation entre les mesures de pH-KCl réalisées par le laboratoire BW, celles du laboratoire BDB et les mesures issues des solutions Veris MSP3, à l’échelle des parcelles. Les parcelles sont classées selon leur degré d’hétérogénéité en pH,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et dont les corrélations inter-laboratoires n’étaient pas fortes (&lt; 0,7) ont été masquées.</w:t>
      </w:r>
    </w:p>
    <w:p w14:paraId="3165AA0D" w14:textId="47A3C101" w:rsidR="7C0D8554" w:rsidRDefault="7C0D8554" w:rsidP="13C70224">
      <w:pPr>
        <w:spacing w:after="159" w:line="276" w:lineRule="auto"/>
        <w:jc w:val="both"/>
        <w:rPr>
          <w:rFonts w:eastAsia="Arial" w:cs="Arial"/>
        </w:rPr>
      </w:pPr>
    </w:p>
    <w:p w14:paraId="1DF608E4" w14:textId="08AF4064" w:rsidR="7C0D8554" w:rsidRDefault="668A31C5" w:rsidP="13C70224">
      <w:pPr>
        <w:spacing w:after="159" w:line="276" w:lineRule="auto"/>
        <w:jc w:val="both"/>
        <w:rPr>
          <w:rFonts w:eastAsia="Arial" w:cs="Arial"/>
        </w:rPr>
      </w:pPr>
      <w:r w:rsidRPr="13C70224">
        <w:rPr>
          <w:rFonts w:eastAsia="Arial" w:cs="Arial"/>
        </w:rPr>
        <w:t xml:space="preserve">En </w:t>
      </w:r>
      <w:r w:rsidR="20288A77" w:rsidRPr="13C70224">
        <w:rPr>
          <w:rFonts w:eastAsia="Arial" w:cs="Arial"/>
        </w:rPr>
        <w:t>se</w:t>
      </w:r>
      <w:r w:rsidRPr="13C70224">
        <w:rPr>
          <w:rFonts w:eastAsia="Arial" w:cs="Arial"/>
        </w:rPr>
        <w:t xml:space="preserve"> concentrant uniquement sur les parcelles les plus hétérogènes en pH et sur les parcelles dont les analyses de</w:t>
      </w:r>
      <w:r w:rsidR="162F1E98" w:rsidRPr="13C70224">
        <w:rPr>
          <w:rFonts w:eastAsia="Arial" w:cs="Arial"/>
        </w:rPr>
        <w:t xml:space="preserve"> sol</w:t>
      </w:r>
      <w:r w:rsidR="5ACF8A86" w:rsidRPr="13C70224">
        <w:rPr>
          <w:rFonts w:eastAsia="Arial" w:cs="Arial"/>
        </w:rPr>
        <w:t xml:space="preserve"> étaient </w:t>
      </w:r>
      <w:r w:rsidR="00B5A902" w:rsidRPr="13C70224">
        <w:rPr>
          <w:rFonts w:eastAsia="Arial" w:cs="Arial"/>
        </w:rPr>
        <w:t>concordantes</w:t>
      </w:r>
      <w:r w:rsidR="5ACF8A86" w:rsidRPr="13C70224">
        <w:rPr>
          <w:rFonts w:eastAsia="Arial" w:cs="Arial"/>
        </w:rPr>
        <w:t xml:space="preserve"> entre </w:t>
      </w:r>
      <w:r w:rsidR="5981558C" w:rsidRPr="13C70224">
        <w:rPr>
          <w:rFonts w:eastAsia="Arial" w:cs="Arial"/>
        </w:rPr>
        <w:t>les deux laboratoires</w:t>
      </w:r>
      <w:r w:rsidR="33EF4F81" w:rsidRPr="13C70224">
        <w:rPr>
          <w:rFonts w:eastAsia="Arial" w:cs="Arial"/>
        </w:rPr>
        <w:t xml:space="preserve"> (Figure 12, matrice </w:t>
      </w:r>
      <w:r w:rsidR="709C36F8" w:rsidRPr="13C70224">
        <w:rPr>
          <w:rFonts w:eastAsia="Arial" w:cs="Arial"/>
        </w:rPr>
        <w:t>inférieure</w:t>
      </w:r>
      <w:r w:rsidR="33EF4F81" w:rsidRPr="13C70224">
        <w:rPr>
          <w:rFonts w:eastAsia="Arial" w:cs="Arial"/>
        </w:rPr>
        <w:t>)</w:t>
      </w:r>
      <w:r w:rsidR="77A5F6FF" w:rsidRPr="13C70224">
        <w:rPr>
          <w:rFonts w:eastAsia="Arial" w:cs="Arial"/>
        </w:rPr>
        <w:t xml:space="preserve">, les précisions des résultats étaient faibles ou négligeables pour </w:t>
      </w:r>
      <w:r w:rsidR="064C7202" w:rsidRPr="13C70224">
        <w:rPr>
          <w:rFonts w:eastAsia="Arial" w:cs="Arial"/>
        </w:rPr>
        <w:t>14</w:t>
      </w:r>
      <w:r w:rsidR="77A5F6FF" w:rsidRPr="13C70224">
        <w:rPr>
          <w:rFonts w:eastAsia="Arial" w:cs="Arial"/>
        </w:rPr>
        <w:t>% (</w:t>
      </w:r>
      <w:r w:rsidR="391E607E" w:rsidRPr="13C70224">
        <w:rPr>
          <w:rFonts w:eastAsia="Arial" w:cs="Arial"/>
        </w:rPr>
        <w:t>1</w:t>
      </w:r>
      <w:r w:rsidR="77A5F6FF" w:rsidRPr="13C70224">
        <w:rPr>
          <w:rFonts w:eastAsia="Arial" w:cs="Arial"/>
        </w:rPr>
        <w:t xml:space="preserve">/7) des parcelles, modérés pour </w:t>
      </w:r>
      <w:r w:rsidR="507174E1" w:rsidRPr="13C70224">
        <w:rPr>
          <w:rFonts w:eastAsia="Arial" w:cs="Arial"/>
        </w:rPr>
        <w:t>57</w:t>
      </w:r>
      <w:r w:rsidR="77A5F6FF" w:rsidRPr="13C70224">
        <w:rPr>
          <w:rFonts w:eastAsia="Arial" w:cs="Arial"/>
        </w:rPr>
        <w:t>% (</w:t>
      </w:r>
      <w:r w:rsidR="2D9200C8" w:rsidRPr="13C70224">
        <w:rPr>
          <w:rFonts w:eastAsia="Arial" w:cs="Arial"/>
        </w:rPr>
        <w:t>4</w:t>
      </w:r>
      <w:r w:rsidR="77A5F6FF" w:rsidRPr="13C70224">
        <w:rPr>
          <w:rFonts w:eastAsia="Arial" w:cs="Arial"/>
        </w:rPr>
        <w:t>/</w:t>
      </w:r>
      <w:r w:rsidR="0B331099" w:rsidRPr="13C70224">
        <w:rPr>
          <w:rFonts w:eastAsia="Arial" w:cs="Arial"/>
        </w:rPr>
        <w:t>7</w:t>
      </w:r>
      <w:r w:rsidR="77A5F6FF" w:rsidRPr="13C70224">
        <w:rPr>
          <w:rFonts w:eastAsia="Arial" w:cs="Arial"/>
        </w:rPr>
        <w:t xml:space="preserve">) des parcelles et fortes à très fortes pour </w:t>
      </w:r>
      <w:r w:rsidR="4AFD491D" w:rsidRPr="13C70224">
        <w:rPr>
          <w:rFonts w:eastAsia="Arial" w:cs="Arial"/>
        </w:rPr>
        <w:t>29</w:t>
      </w:r>
      <w:r w:rsidR="77A5F6FF" w:rsidRPr="13C70224">
        <w:rPr>
          <w:rFonts w:eastAsia="Arial" w:cs="Arial"/>
        </w:rPr>
        <w:t>% (</w:t>
      </w:r>
      <w:r w:rsidR="2F7E5888" w:rsidRPr="13C70224">
        <w:rPr>
          <w:rFonts w:eastAsia="Arial" w:cs="Arial"/>
        </w:rPr>
        <w:t>2</w:t>
      </w:r>
      <w:r w:rsidR="77A5F6FF" w:rsidRPr="13C70224">
        <w:rPr>
          <w:rFonts w:eastAsia="Arial" w:cs="Arial"/>
        </w:rPr>
        <w:t>/</w:t>
      </w:r>
      <w:r w:rsidR="3404D51B" w:rsidRPr="13C70224">
        <w:rPr>
          <w:rFonts w:eastAsia="Arial" w:cs="Arial"/>
        </w:rPr>
        <w:t>7</w:t>
      </w:r>
      <w:r w:rsidR="77A5F6FF" w:rsidRPr="13C70224">
        <w:rPr>
          <w:rFonts w:eastAsia="Arial" w:cs="Arial"/>
        </w:rPr>
        <w:t>)</w:t>
      </w:r>
      <w:r w:rsidR="0612C66F" w:rsidRPr="13C70224">
        <w:rPr>
          <w:rFonts w:eastAsia="Arial" w:cs="Arial"/>
        </w:rPr>
        <w:t xml:space="preserve"> des</w:t>
      </w:r>
      <w:r w:rsidR="77A5F6FF" w:rsidRPr="13C70224">
        <w:rPr>
          <w:rFonts w:eastAsia="Arial" w:cs="Arial"/>
        </w:rPr>
        <w:t xml:space="preserve"> parcelles.</w:t>
      </w:r>
    </w:p>
    <w:p w14:paraId="392B76F7" w14:textId="24B02FDE" w:rsidR="57595D86" w:rsidRDefault="57595D86" w:rsidP="13C70224">
      <w:pPr>
        <w:spacing w:before="240" w:after="159" w:line="276" w:lineRule="auto"/>
        <w:jc w:val="both"/>
        <w:rPr>
          <w:rFonts w:eastAsia="Arial" w:cs="Arial"/>
        </w:rPr>
      </w:pPr>
      <w:r w:rsidRPr="13C70224">
        <w:rPr>
          <w:rFonts w:eastAsia="Arial" w:cs="Arial"/>
        </w:rPr>
        <w:t xml:space="preserve">Il convient de garder à l’esprit que la méthode employée pour valider les cartes de pH du </w:t>
      </w:r>
      <w:proofErr w:type="spellStart"/>
      <w:r w:rsidRPr="13C70224">
        <w:rPr>
          <w:rFonts w:eastAsia="Arial" w:cs="Arial"/>
        </w:rPr>
        <w:t>veris</w:t>
      </w:r>
      <w:proofErr w:type="spellEnd"/>
      <w:r w:rsidRPr="13C70224">
        <w:rPr>
          <w:rFonts w:eastAsia="Arial" w:cs="Arial"/>
        </w:rPr>
        <w:t xml:space="preserve"> MSP3 est critiquable. </w:t>
      </w:r>
      <w:r w:rsidR="296361B3" w:rsidRPr="13C70224">
        <w:rPr>
          <w:rFonts w:eastAsia="Arial" w:cs="Arial"/>
        </w:rPr>
        <w:t xml:space="preserve">En effet, les prélèvements de sol de référence réalisés dans le cadre de cette étude visaient à évaluer l’ensemble des couches produites par les différentes solutions de cartographie des sols, et non spécifiquement les cartes de pH du Veris MSP3, dont la densité de points reste faible par rapport aux autres mesures. </w:t>
      </w:r>
      <w:r w:rsidRPr="13C70224">
        <w:rPr>
          <w:rFonts w:eastAsia="Arial" w:cs="Arial"/>
        </w:rPr>
        <w:t>Idéalement, il aurait été nécessaire de récupérer les échantillons de sol prélevés par le dispositif Veris MSP3 et d’analyser directement l</w:t>
      </w:r>
      <w:r w:rsidR="0CDDFC10" w:rsidRPr="13C70224">
        <w:rPr>
          <w:rFonts w:eastAsia="Arial" w:cs="Arial"/>
        </w:rPr>
        <w:t>e</w:t>
      </w:r>
      <w:r w:rsidRPr="13C70224">
        <w:rPr>
          <w:rFonts w:eastAsia="Arial" w:cs="Arial"/>
        </w:rPr>
        <w:t xml:space="preserve"> pH</w:t>
      </w:r>
      <w:r w:rsidR="252CC65B" w:rsidRPr="13C70224">
        <w:rPr>
          <w:rFonts w:eastAsia="Arial" w:cs="Arial"/>
        </w:rPr>
        <w:t xml:space="preserve"> de ces échantillons</w:t>
      </w:r>
      <w:r w:rsidRPr="13C70224">
        <w:rPr>
          <w:rFonts w:eastAsia="Arial" w:cs="Arial"/>
        </w:rPr>
        <w:t>.</w:t>
      </w:r>
    </w:p>
    <w:p w14:paraId="10A97AE7" w14:textId="5DBBFB0C" w:rsidR="7C0D8554" w:rsidRDefault="7C0D8554" w:rsidP="13C70224">
      <w:pPr>
        <w:spacing w:line="276" w:lineRule="auto"/>
        <w:jc w:val="both"/>
        <w:rPr>
          <w:rFonts w:eastAsia="Arial" w:cs="Arial"/>
        </w:rPr>
      </w:pPr>
    </w:p>
    <w:p w14:paraId="04620A03" w14:textId="7D554E30" w:rsidR="77BBA00F" w:rsidRDefault="2B4EF697" w:rsidP="13C70224">
      <w:pPr>
        <w:pStyle w:val="Titre4"/>
        <w:spacing w:line="276" w:lineRule="auto"/>
        <w:jc w:val="both"/>
        <w:rPr>
          <w:rFonts w:eastAsia="Arial" w:cs="Arial"/>
        </w:rPr>
      </w:pPr>
      <w:r w:rsidRPr="13C70224">
        <w:rPr>
          <w:rFonts w:eastAsia="Arial" w:cs="Arial"/>
        </w:rPr>
        <w:t>InterraScan</w:t>
      </w:r>
    </w:p>
    <w:p w14:paraId="34353428" w14:textId="7CB92502" w:rsidR="0E7E248D" w:rsidRPr="00D76B75" w:rsidRDefault="6240071A" w:rsidP="13C70224">
      <w:pPr>
        <w:spacing w:line="276" w:lineRule="auto"/>
        <w:jc w:val="both"/>
        <w:rPr>
          <w:rFonts w:eastAsia="Arial" w:cs="Arial"/>
        </w:rPr>
      </w:pPr>
      <w:r w:rsidRPr="13C70224">
        <w:rPr>
          <w:rFonts w:eastAsia="Arial" w:cs="Arial"/>
        </w:rPr>
        <w:t xml:space="preserve">Les mesures de pH-KCl produites par le laboratoire BW et les mesures de pH de la solution InterraScan sont comparées dans la </w:t>
      </w:r>
      <w:r w:rsidR="773D8502" w:rsidRPr="13C70224">
        <w:rPr>
          <w:rFonts w:eastAsia="Arial" w:cs="Arial"/>
        </w:rPr>
        <w:t>figure 32</w:t>
      </w:r>
      <w:r w:rsidR="4FC2AA56" w:rsidRPr="13C70224">
        <w:rPr>
          <w:rFonts w:eastAsia="Arial" w:cs="Arial"/>
        </w:rPr>
        <w:t>.</w:t>
      </w:r>
    </w:p>
    <w:p w14:paraId="0CE58DE2" w14:textId="77777777" w:rsidR="00E91A57" w:rsidRDefault="1051F352" w:rsidP="0FF8C3A4">
      <w:pPr>
        <w:keepNext/>
        <w:spacing w:line="276" w:lineRule="auto"/>
        <w:jc w:val="center"/>
        <w:rPr>
          <w:rFonts w:eastAsia="Arial" w:cs="Arial"/>
        </w:rPr>
      </w:pPr>
      <w:r>
        <w:rPr>
          <w:noProof/>
        </w:rPr>
        <w:lastRenderedPageBreak/>
        <w:drawing>
          <wp:inline distT="0" distB="0" distL="0" distR="0" wp14:anchorId="7BE30C1A" wp14:editId="705046AC">
            <wp:extent cx="4282862" cy="4680000"/>
            <wp:effectExtent l="0" t="0" r="3810" b="6350"/>
            <wp:docPr id="13829425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942524" name=""/>
                    <pic:cNvPicPr/>
                  </pic:nvPicPr>
                  <pic:blipFill>
                    <a:blip r:embed="rId44" cstate="screen">
                      <a:extLst>
                        <a:ext uri="{28A0092B-C50C-407E-A947-70E740481C1C}">
                          <a14:useLocalDpi xmlns:a14="http://schemas.microsoft.com/office/drawing/2010/main"/>
                        </a:ext>
                      </a:extLst>
                    </a:blip>
                    <a:stretch>
                      <a:fillRect/>
                    </a:stretch>
                  </pic:blipFill>
                  <pic:spPr>
                    <a:xfrm>
                      <a:off x="0" y="0"/>
                      <a:ext cx="4282862" cy="4680000"/>
                    </a:xfrm>
                    <a:prstGeom prst="rect">
                      <a:avLst/>
                    </a:prstGeom>
                  </pic:spPr>
                </pic:pic>
              </a:graphicData>
            </a:graphic>
          </wp:inline>
        </w:drawing>
      </w:r>
    </w:p>
    <w:p w14:paraId="53AEA7BA" w14:textId="134DA708" w:rsidR="14FE1286" w:rsidRPr="00D76B75" w:rsidRDefault="36DE30D7" w:rsidP="13C70224">
      <w:pPr>
        <w:pStyle w:val="Lgende"/>
        <w:spacing w:line="276" w:lineRule="auto"/>
        <w:jc w:val="both"/>
        <w:rPr>
          <w:rFonts w:eastAsia="Arial" w:cs="Arial"/>
        </w:rPr>
      </w:pPr>
      <w:bookmarkStart w:id="21" w:name="_Ref221614026"/>
      <w:r w:rsidRPr="3BFF6491">
        <w:rPr>
          <w:rFonts w:eastAsia="Arial" w:cs="Arial"/>
        </w:rPr>
        <w:t xml:space="preserve">Figure </w:t>
      </w:r>
      <w:r w:rsidR="5D407C50" w:rsidRPr="3BFF6491">
        <w:rPr>
          <w:rFonts w:eastAsia="Arial" w:cs="Arial"/>
        </w:rPr>
        <w:t>32</w:t>
      </w:r>
      <w:bookmarkEnd w:id="21"/>
      <w:r w:rsidRPr="3BFF6491">
        <w:rPr>
          <w:rFonts w:eastAsia="Arial" w:cs="Arial"/>
        </w:rPr>
        <w:t>.</w:t>
      </w:r>
      <w:r w:rsidR="4FC2AA56" w:rsidRPr="3BFF6491">
        <w:rPr>
          <w:rFonts w:eastAsia="Arial" w:cs="Arial"/>
        </w:rPr>
        <w:t xml:space="preserve"> Comparaison des mesures de pH-KCl produites par le laboratoire BW et de pH de la solution InterraScan. Le coefficient de concordance de Lin (CC Lin), ainsi que les indicateurs d’exactitude et de précision, sont indiqués sur la figure. Chaque point correspond à une analyse de sol. Les points plus foncés représentent un sous-échantillon des données utilisé lors de l’étape de </w:t>
      </w:r>
      <w:proofErr w:type="spellStart"/>
      <w:r w:rsidR="4FC2AA56" w:rsidRPr="3BFF6491">
        <w:rPr>
          <w:rFonts w:eastAsia="Arial" w:cs="Arial"/>
        </w:rPr>
        <w:t>bootstrapping</w:t>
      </w:r>
      <w:proofErr w:type="spellEnd"/>
      <w:r w:rsidR="4FC2AA56" w:rsidRPr="3BFF6491">
        <w:rPr>
          <w:rFonts w:eastAsia="Arial" w:cs="Arial"/>
        </w:rPr>
        <w:t>. La ligne en pointillé indique la ligne d’identité entre les deux variables comparées.</w:t>
      </w:r>
    </w:p>
    <w:p w14:paraId="7AE9DFCC" w14:textId="5DA193B7" w:rsidR="00D76B75" w:rsidRDefault="3F813D4C" w:rsidP="13C70224">
      <w:pPr>
        <w:keepNext/>
        <w:spacing w:line="276" w:lineRule="auto"/>
        <w:jc w:val="both"/>
        <w:rPr>
          <w:rFonts w:eastAsia="Arial" w:cs="Arial"/>
        </w:rPr>
      </w:pPr>
      <w:r w:rsidRPr="3BFF6491">
        <w:rPr>
          <w:rFonts w:eastAsia="Arial" w:cs="Arial"/>
        </w:rPr>
        <w:t xml:space="preserve">La corrélation des résultats entre le laboratoire et la solution InterraScan pour le pH était forte (Précision = 0.7) avec un taux d’exactitude élevé (Exactitude = 0.98). </w:t>
      </w:r>
      <w:r w:rsidR="7CDA13CB" w:rsidRPr="3BFF6491">
        <w:rPr>
          <w:rFonts w:eastAsia="Arial" w:cs="Arial"/>
        </w:rPr>
        <w:t xml:space="preserve">Cependant, les résultats de ces comparaisons en termes de précision étaient décevants à l’échelle de la </w:t>
      </w:r>
      <w:r w:rsidRPr="3BFF6491">
        <w:rPr>
          <w:rFonts w:eastAsia="Arial" w:cs="Arial"/>
        </w:rPr>
        <w:t>parcelle.</w:t>
      </w:r>
      <w:r w:rsidR="3BEA0254" w:rsidRPr="3BFF6491">
        <w:rPr>
          <w:rFonts w:eastAsia="Arial" w:cs="Arial"/>
        </w:rPr>
        <w:t xml:space="preserve"> L</w:t>
      </w:r>
      <w:r w:rsidR="5B3F7CE9" w:rsidRPr="3BFF6491">
        <w:rPr>
          <w:rFonts w:eastAsia="Arial" w:cs="Arial"/>
        </w:rPr>
        <w:t xml:space="preserve">a précision des comparaisons </w:t>
      </w:r>
      <w:r w:rsidR="3BEA0254" w:rsidRPr="3BFF6491">
        <w:rPr>
          <w:rFonts w:eastAsia="Arial" w:cs="Arial"/>
        </w:rPr>
        <w:t xml:space="preserve">étaient faibles ou négligeables pour </w:t>
      </w:r>
      <w:r w:rsidR="55A72C0D" w:rsidRPr="3BFF6491">
        <w:rPr>
          <w:rFonts w:eastAsia="Arial" w:cs="Arial"/>
        </w:rPr>
        <w:t>92% (</w:t>
      </w:r>
      <w:r w:rsidR="3BEA0254" w:rsidRPr="3BFF6491">
        <w:rPr>
          <w:rFonts w:eastAsia="Arial" w:cs="Arial"/>
        </w:rPr>
        <w:t>11</w:t>
      </w:r>
      <w:r w:rsidR="2575F057" w:rsidRPr="3BFF6491">
        <w:rPr>
          <w:rFonts w:eastAsia="Arial" w:cs="Arial"/>
        </w:rPr>
        <w:t>/12)</w:t>
      </w:r>
      <w:r w:rsidR="3BEA0254" w:rsidRPr="3BFF6491">
        <w:rPr>
          <w:rFonts w:eastAsia="Arial" w:cs="Arial"/>
        </w:rPr>
        <w:t xml:space="preserve"> </w:t>
      </w:r>
      <w:r w:rsidR="0E21C3D8" w:rsidRPr="3BFF6491">
        <w:rPr>
          <w:rFonts w:eastAsia="Arial" w:cs="Arial"/>
        </w:rPr>
        <w:t xml:space="preserve">des </w:t>
      </w:r>
      <w:r w:rsidR="3BEA0254" w:rsidRPr="3BFF6491">
        <w:rPr>
          <w:rFonts w:eastAsia="Arial" w:cs="Arial"/>
        </w:rPr>
        <w:t xml:space="preserve">parcelles et modérés pour </w:t>
      </w:r>
      <w:r w:rsidR="24C4EE20" w:rsidRPr="3BFF6491">
        <w:rPr>
          <w:rFonts w:eastAsia="Arial" w:cs="Arial"/>
        </w:rPr>
        <w:t xml:space="preserve">8% </w:t>
      </w:r>
      <w:r w:rsidR="24C4EE20" w:rsidRPr="3BFF6491">
        <w:rPr>
          <w:rFonts w:eastAsia="Arial" w:cs="Arial"/>
        </w:rPr>
        <w:lastRenderedPageBreak/>
        <w:t>(</w:t>
      </w:r>
      <w:r w:rsidR="3BEA0254" w:rsidRPr="3BFF6491">
        <w:rPr>
          <w:rFonts w:eastAsia="Arial" w:cs="Arial"/>
        </w:rPr>
        <w:t>1</w:t>
      </w:r>
      <w:r w:rsidR="7230C54B" w:rsidRPr="3BFF6491">
        <w:rPr>
          <w:rFonts w:eastAsia="Arial" w:cs="Arial"/>
        </w:rPr>
        <w:t>/12) des</w:t>
      </w:r>
      <w:r w:rsidR="3BEA0254" w:rsidRPr="3BFF6491">
        <w:rPr>
          <w:rFonts w:eastAsia="Arial" w:cs="Arial"/>
        </w:rPr>
        <w:t xml:space="preserve"> parcelles</w:t>
      </w:r>
      <w:r w:rsidR="3E4C0EB4" w:rsidRPr="3BFF6491">
        <w:rPr>
          <w:rFonts w:eastAsia="Arial" w:cs="Arial"/>
        </w:rPr>
        <w:t xml:space="preserve"> (Figure </w:t>
      </w:r>
      <w:r w:rsidR="0E279725" w:rsidRPr="3BFF6491">
        <w:rPr>
          <w:rFonts w:eastAsia="Arial" w:cs="Arial"/>
        </w:rPr>
        <w:t>33</w:t>
      </w:r>
      <w:r w:rsidR="3E4C0EB4" w:rsidRPr="3BFF6491">
        <w:rPr>
          <w:rFonts w:eastAsia="Arial" w:cs="Arial"/>
        </w:rPr>
        <w:t>, matrice supérieure)</w:t>
      </w:r>
      <w:r w:rsidR="3BEA0254" w:rsidRPr="3BFF6491">
        <w:rPr>
          <w:rFonts w:eastAsia="Arial" w:cs="Arial"/>
        </w:rPr>
        <w:t>.</w:t>
      </w:r>
      <w:r w:rsidR="5E1F2B4D" w:rsidRPr="3BFF6491">
        <w:rPr>
          <w:rFonts w:eastAsia="Arial" w:cs="Arial"/>
        </w:rPr>
        <w:t xml:space="preserve"> </w:t>
      </w:r>
      <w:r w:rsidR="1A0058F0">
        <w:rPr>
          <w:noProof/>
        </w:rPr>
        <w:drawing>
          <wp:inline distT="0" distB="0" distL="0" distR="0" wp14:anchorId="359F4450" wp14:editId="633CB960">
            <wp:extent cx="5039843" cy="2879164"/>
            <wp:effectExtent l="0" t="0" r="8890" b="0"/>
            <wp:docPr id="47938069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380694" name=""/>
                    <pic:cNvPicPr/>
                  </pic:nvPicPr>
                  <pic:blipFill>
                    <a:blip r:embed="rId45" cstate="screen">
                      <a:extLst>
                        <a:ext uri="{28A0092B-C50C-407E-A947-70E740481C1C}">
                          <a14:useLocalDpi xmlns:a14="http://schemas.microsoft.com/office/drawing/2010/main"/>
                        </a:ext>
                      </a:extLst>
                    </a:blip>
                    <a:stretch>
                      <a:fillRect/>
                    </a:stretch>
                  </pic:blipFill>
                  <pic:spPr>
                    <a:xfrm>
                      <a:off x="0" y="0"/>
                      <a:ext cx="5039843" cy="2879164"/>
                    </a:xfrm>
                    <a:prstGeom prst="rect">
                      <a:avLst/>
                    </a:prstGeom>
                  </pic:spPr>
                </pic:pic>
              </a:graphicData>
            </a:graphic>
          </wp:inline>
        </w:drawing>
      </w:r>
    </w:p>
    <w:p w14:paraId="5BE61C00" w14:textId="15A43913" w:rsidR="20CA2CCE" w:rsidRPr="00D76B75" w:rsidRDefault="4FC2AA56" w:rsidP="13C70224">
      <w:pPr>
        <w:pStyle w:val="Lgende"/>
        <w:spacing w:line="276" w:lineRule="auto"/>
        <w:jc w:val="both"/>
        <w:rPr>
          <w:rFonts w:eastAsia="Arial" w:cs="Arial"/>
          <w:sz w:val="20"/>
          <w:szCs w:val="20"/>
        </w:rPr>
      </w:pPr>
      <w:r w:rsidRPr="3BFF6491">
        <w:rPr>
          <w:rFonts w:eastAsia="Arial" w:cs="Arial"/>
        </w:rPr>
        <w:t xml:space="preserve">Figure </w:t>
      </w:r>
      <w:r w:rsidR="22814F6E" w:rsidRPr="3BFF6491">
        <w:rPr>
          <w:rFonts w:eastAsia="Arial" w:cs="Arial"/>
        </w:rPr>
        <w:t>33</w:t>
      </w:r>
      <w:r w:rsidRPr="3BFF6491">
        <w:rPr>
          <w:rFonts w:eastAsia="Arial" w:cs="Arial"/>
        </w:rPr>
        <w:t>. Matrices de corrélation entre les mesures de pH-KCl réalisées par le laboratoire BW, celles du laboratoire BDB et les mesures issues des solutions InterraScan, à l’échelle des parcelles. Les parcelles sont classées selon leur degré d’hétérogénéité en pH, estimé à partir des résultats du laboratoire BW : les plus hétérogènes figurent à gauche de la matrice, les moins hétérogènes à droite. La matrice supérieure présente l’ensemble des résultats par parcelle. Dans la matrice inférieure, les parcelles sans variation significative (cv &lt; erreur de mesure) et dont les corrélations inter-laboratoires n’étaient pas fortes (&lt; 0,7) ont été masquées.</w:t>
      </w:r>
    </w:p>
    <w:p w14:paraId="25F336D8" w14:textId="37BDBA44" w:rsidR="20CA2CCE" w:rsidRDefault="6EF9A42A" w:rsidP="13C70224">
      <w:pPr>
        <w:spacing w:line="276" w:lineRule="auto"/>
        <w:jc w:val="both"/>
        <w:rPr>
          <w:rFonts w:eastAsia="Arial" w:cs="Arial"/>
        </w:rPr>
      </w:pPr>
      <w:r w:rsidRPr="13C70224">
        <w:rPr>
          <w:rFonts w:eastAsia="Arial" w:cs="Arial"/>
        </w:rPr>
        <w:t>En se concentrant uniquement sur les parcelles les plus hétérogènes en pH et sur les parcelles dont les analyses de laboratoires étaient concordantes entre les deux laboratoires</w:t>
      </w:r>
      <w:r w:rsidR="19BEC4EA" w:rsidRPr="13C70224">
        <w:rPr>
          <w:rFonts w:eastAsia="Arial" w:cs="Arial"/>
        </w:rPr>
        <w:t xml:space="preserve"> (Figure 14, matrice inférieure)</w:t>
      </w:r>
      <w:r w:rsidRPr="13C70224">
        <w:rPr>
          <w:rFonts w:eastAsia="Arial" w:cs="Arial"/>
        </w:rPr>
        <w:t>, les précisions des résultats étaient faibles ou négligeables pour 100%</w:t>
      </w:r>
      <w:r w:rsidR="40A37758" w:rsidRPr="13C70224">
        <w:rPr>
          <w:rFonts w:eastAsia="Arial" w:cs="Arial"/>
        </w:rPr>
        <w:t xml:space="preserve"> (5/5)</w:t>
      </w:r>
      <w:r w:rsidRPr="13C70224">
        <w:rPr>
          <w:rFonts w:eastAsia="Arial" w:cs="Arial"/>
        </w:rPr>
        <w:t xml:space="preserve"> des parcelles.</w:t>
      </w:r>
    </w:p>
    <w:p w14:paraId="34F39736" w14:textId="3AEF48B8" w:rsidR="6F9DA10C" w:rsidRDefault="6F9DA10C" w:rsidP="0FF8C3A4">
      <w:pPr>
        <w:spacing w:line="276" w:lineRule="auto"/>
        <w:jc w:val="both"/>
        <w:rPr>
          <w:rFonts w:eastAsia="Arial" w:cs="Arial"/>
        </w:rPr>
      </w:pPr>
    </w:p>
    <w:p w14:paraId="6F64BC35" w14:textId="77707940" w:rsidR="232D98EE" w:rsidRDefault="008AACFA" w:rsidP="13C70224">
      <w:pPr>
        <w:pStyle w:val="Titre3"/>
        <w:spacing w:line="276" w:lineRule="auto"/>
        <w:jc w:val="both"/>
        <w:rPr>
          <w:rFonts w:eastAsia="Arial" w:cs="Arial"/>
        </w:rPr>
      </w:pPr>
      <w:r w:rsidRPr="13C70224">
        <w:rPr>
          <w:rFonts w:eastAsia="Arial" w:cs="Arial"/>
        </w:rPr>
        <w:t xml:space="preserve">Consigne vs réalité </w:t>
      </w:r>
    </w:p>
    <w:p w14:paraId="4A3438A9" w14:textId="43AE9765" w:rsidR="232D98EE" w:rsidRDefault="008AACFA" w:rsidP="13C70224">
      <w:pPr>
        <w:pStyle w:val="Titre4"/>
        <w:spacing w:line="276" w:lineRule="auto"/>
        <w:jc w:val="both"/>
        <w:rPr>
          <w:rFonts w:eastAsia="Arial" w:cs="Arial"/>
        </w:rPr>
      </w:pPr>
      <w:r w:rsidRPr="13C70224">
        <w:rPr>
          <w:rFonts w:eastAsia="Arial" w:cs="Arial"/>
        </w:rPr>
        <w:t>Veris MSP3</w:t>
      </w:r>
    </w:p>
    <w:p w14:paraId="019FB4B9" w14:textId="1D3D79A9" w:rsidR="232D98EE" w:rsidRDefault="274A76B3" w:rsidP="13C70224">
      <w:pPr>
        <w:spacing w:line="276" w:lineRule="auto"/>
        <w:jc w:val="both"/>
        <w:rPr>
          <w:rFonts w:eastAsia="Arial" w:cs="Arial"/>
        </w:rPr>
      </w:pPr>
      <w:r w:rsidRPr="13C70224">
        <w:rPr>
          <w:rFonts w:eastAsia="Arial" w:cs="Arial"/>
        </w:rPr>
        <w:t xml:space="preserve">L’épandeur finalement utilisé pour la modulation de dose sur la parcelle </w:t>
      </w:r>
      <w:proofErr w:type="spellStart"/>
      <w:r w:rsidRPr="13C70224">
        <w:rPr>
          <w:rFonts w:eastAsia="Arial" w:cs="Arial"/>
        </w:rPr>
        <w:t>ThAuto</w:t>
      </w:r>
      <w:proofErr w:type="spellEnd"/>
      <w:r w:rsidRPr="13C70224">
        <w:rPr>
          <w:rFonts w:eastAsia="Arial" w:cs="Arial"/>
        </w:rPr>
        <w:t xml:space="preserve"> ne disposait pas des fonctionnalités nécessaires (peson, ISOBUS) pour enregistrer le travail réellement effectué, ce qui n’a pas permis d’obtenir de carte d’application pour cette </w:t>
      </w:r>
      <w:r w:rsidR="50ACAF93" w:rsidRPr="13C70224">
        <w:rPr>
          <w:rFonts w:eastAsia="Arial" w:cs="Arial"/>
        </w:rPr>
        <w:t>opération</w:t>
      </w:r>
      <w:r w:rsidRPr="13C70224">
        <w:rPr>
          <w:rFonts w:eastAsia="Arial" w:cs="Arial"/>
        </w:rPr>
        <w:t xml:space="preserve"> culturale.</w:t>
      </w:r>
    </w:p>
    <w:p w14:paraId="7567578A" w14:textId="739E62C0" w:rsidR="39A1295F" w:rsidRDefault="1B7DB9DA" w:rsidP="13C70224">
      <w:pPr>
        <w:spacing w:line="276" w:lineRule="auto"/>
        <w:jc w:val="both"/>
        <w:rPr>
          <w:rFonts w:eastAsia="Arial" w:cs="Arial"/>
        </w:rPr>
      </w:pPr>
      <w:r w:rsidRPr="13C70224">
        <w:rPr>
          <w:rFonts w:eastAsia="Arial" w:cs="Arial"/>
        </w:rPr>
        <w:t xml:space="preserve">L’effet de la modulation de la dose </w:t>
      </w:r>
      <w:r w:rsidR="418D84B1" w:rsidRPr="13C70224">
        <w:rPr>
          <w:rFonts w:eastAsia="Arial" w:cs="Arial"/>
        </w:rPr>
        <w:t xml:space="preserve">réalisé sur </w:t>
      </w:r>
      <w:proofErr w:type="spellStart"/>
      <w:r w:rsidR="418D84B1" w:rsidRPr="13C70224">
        <w:rPr>
          <w:rFonts w:eastAsia="Arial" w:cs="Arial"/>
        </w:rPr>
        <w:t>ThAuto</w:t>
      </w:r>
      <w:proofErr w:type="spellEnd"/>
      <w:r w:rsidR="418D84B1" w:rsidRPr="13C70224">
        <w:rPr>
          <w:rFonts w:eastAsia="Arial" w:cs="Arial"/>
        </w:rPr>
        <w:t xml:space="preserve"> le 09/07/2024</w:t>
      </w:r>
      <w:r w:rsidRPr="13C70224">
        <w:rPr>
          <w:rFonts w:eastAsia="Arial" w:cs="Arial"/>
        </w:rPr>
        <w:t xml:space="preserve"> a néanmoins pu être testé en comparant les analyses de sol réalisées avant et après modulation </w:t>
      </w:r>
      <w:r w:rsidR="6281AB81" w:rsidRPr="13C70224">
        <w:rPr>
          <w:rFonts w:eastAsia="Arial" w:cs="Arial"/>
        </w:rPr>
        <w:t>(</w:t>
      </w:r>
      <w:r w:rsidR="3F170921" w:rsidRPr="13C70224">
        <w:rPr>
          <w:rFonts w:eastAsia="Arial" w:cs="Arial"/>
        </w:rPr>
        <w:t>figure 34</w:t>
      </w:r>
      <w:r w:rsidR="6281AB81" w:rsidRPr="13C70224">
        <w:rPr>
          <w:rFonts w:eastAsia="Arial" w:cs="Arial"/>
        </w:rPr>
        <w:t>).</w:t>
      </w:r>
    </w:p>
    <w:p w14:paraId="659A20F7" w14:textId="77777777" w:rsidR="002B6248" w:rsidRDefault="7B631A70" w:rsidP="0FF8C3A4">
      <w:pPr>
        <w:keepNext/>
        <w:spacing w:line="276" w:lineRule="auto"/>
        <w:jc w:val="center"/>
        <w:rPr>
          <w:rFonts w:eastAsia="Arial" w:cs="Arial"/>
        </w:rPr>
      </w:pPr>
      <w:r w:rsidRPr="0FF8C3A4">
        <w:rPr>
          <w:rFonts w:eastAsia="Arial" w:cs="Arial"/>
        </w:rPr>
        <w:lastRenderedPageBreak/>
        <w:t xml:space="preserve"> </w:t>
      </w:r>
      <w:r w:rsidR="5CB8DF02">
        <w:rPr>
          <w:noProof/>
        </w:rPr>
        <w:drawing>
          <wp:inline distT="0" distB="0" distL="0" distR="0" wp14:anchorId="5DEF3C06" wp14:editId="49EBB4F7">
            <wp:extent cx="2877600" cy="3237657"/>
            <wp:effectExtent l="0" t="0" r="0" b="1270"/>
            <wp:docPr id="103385287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852879" name=""/>
                    <pic:cNvPicPr/>
                  </pic:nvPicPr>
                  <pic:blipFill>
                    <a:blip r:embed="rId46" cstate="screen">
                      <a:extLst>
                        <a:ext uri="{28A0092B-C50C-407E-A947-70E740481C1C}">
                          <a14:useLocalDpi xmlns:a14="http://schemas.microsoft.com/office/drawing/2010/main"/>
                        </a:ext>
                      </a:extLst>
                    </a:blip>
                    <a:stretch>
                      <a:fillRect/>
                    </a:stretch>
                  </pic:blipFill>
                  <pic:spPr>
                    <a:xfrm>
                      <a:off x="0" y="0"/>
                      <a:ext cx="2877600" cy="3237657"/>
                    </a:xfrm>
                    <a:prstGeom prst="rect">
                      <a:avLst/>
                    </a:prstGeom>
                  </pic:spPr>
                </pic:pic>
              </a:graphicData>
            </a:graphic>
          </wp:inline>
        </w:drawing>
      </w:r>
    </w:p>
    <w:p w14:paraId="665EF189" w14:textId="5F70F486" w:rsidR="39A1295F" w:rsidRPr="002B6248" w:rsidRDefault="037D7252" w:rsidP="13C70224">
      <w:pPr>
        <w:pStyle w:val="Lgende"/>
        <w:spacing w:line="276" w:lineRule="auto"/>
        <w:jc w:val="both"/>
        <w:rPr>
          <w:rFonts w:eastAsia="Arial" w:cs="Arial"/>
        </w:rPr>
      </w:pPr>
      <w:bookmarkStart w:id="22" w:name="_Ref221614247"/>
      <w:r w:rsidRPr="3BFF6491">
        <w:rPr>
          <w:rFonts w:eastAsia="Arial" w:cs="Arial"/>
        </w:rPr>
        <w:t xml:space="preserve">Figure </w:t>
      </w:r>
      <w:r w:rsidR="1DF7A197" w:rsidRPr="3BFF6491">
        <w:rPr>
          <w:rFonts w:eastAsia="Arial" w:cs="Arial"/>
        </w:rPr>
        <w:t>34</w:t>
      </w:r>
      <w:bookmarkEnd w:id="22"/>
      <w:r w:rsidRPr="3BFF6491">
        <w:rPr>
          <w:rFonts w:eastAsia="Arial" w:cs="Arial"/>
        </w:rPr>
        <w:t>. Comparaison de la distribution des résultats des 17 analyses de sol pour le pH KCl avant et après la modulation. Le coefficient de variation des deux distributions est indiqué sur le graphique, au sommet de chaque boîte à moustaches.</w:t>
      </w:r>
    </w:p>
    <w:p w14:paraId="42C9F848" w14:textId="09DB6243" w:rsidR="29A43825" w:rsidRDefault="29A43825" w:rsidP="13C70224">
      <w:pPr>
        <w:spacing w:line="276" w:lineRule="auto"/>
        <w:jc w:val="both"/>
        <w:rPr>
          <w:rFonts w:eastAsia="Arial" w:cs="Arial"/>
        </w:rPr>
      </w:pPr>
    </w:p>
    <w:p w14:paraId="129B71C4" w14:textId="6672D89F" w:rsidR="29A43825" w:rsidRDefault="71786CE0" w:rsidP="13C70224">
      <w:pPr>
        <w:spacing w:line="276" w:lineRule="auto"/>
        <w:jc w:val="both"/>
        <w:rPr>
          <w:rFonts w:eastAsia="Arial" w:cs="Arial"/>
        </w:rPr>
      </w:pPr>
      <w:r w:rsidRPr="13C70224">
        <w:rPr>
          <w:rFonts w:eastAsia="Arial" w:cs="Arial"/>
        </w:rPr>
        <w:t xml:space="preserve">Le pH moyen de la parcelle est passé de 6,81 à 7,37 entre février 2024 et octobre 2025. Il est intéressant de noter que le coefficient de variation du pH KCl a été réduit de </w:t>
      </w:r>
      <w:r w:rsidRPr="13C70224">
        <w:rPr>
          <w:rFonts w:eastAsia="Arial" w:cs="Arial"/>
          <w:b/>
          <w:bCs/>
        </w:rPr>
        <w:t>5,43 %</w:t>
      </w:r>
      <w:r w:rsidRPr="13C70224">
        <w:rPr>
          <w:rFonts w:eastAsia="Arial" w:cs="Arial"/>
        </w:rPr>
        <w:t xml:space="preserve"> à </w:t>
      </w:r>
      <w:r w:rsidRPr="13C70224">
        <w:rPr>
          <w:rFonts w:eastAsia="Arial" w:cs="Arial"/>
          <w:b/>
          <w:bCs/>
        </w:rPr>
        <w:t>1,98 %</w:t>
      </w:r>
      <w:r w:rsidRPr="13C70224">
        <w:rPr>
          <w:rFonts w:eastAsia="Arial" w:cs="Arial"/>
        </w:rPr>
        <w:t>, ce qui montre l’effet positif de la modulation pour diminuer l’hétérogénéité de ce paramètre sur la parcelle (</w:t>
      </w:r>
      <w:r w:rsidR="78129C8D" w:rsidRPr="13C70224">
        <w:rPr>
          <w:rFonts w:eastAsia="Arial" w:cs="Arial"/>
        </w:rPr>
        <w:t>figure 35</w:t>
      </w:r>
      <w:r w:rsidRPr="13C70224">
        <w:rPr>
          <w:rFonts w:eastAsia="Arial" w:cs="Arial"/>
        </w:rPr>
        <w:t>).</w:t>
      </w:r>
    </w:p>
    <w:p w14:paraId="0C0F5447" w14:textId="77777777" w:rsidR="00B36BD0" w:rsidRDefault="3887AC06" w:rsidP="13C70224">
      <w:pPr>
        <w:keepNext/>
        <w:spacing w:line="276" w:lineRule="auto"/>
        <w:jc w:val="both"/>
        <w:rPr>
          <w:rFonts w:eastAsia="Arial" w:cs="Arial"/>
        </w:rPr>
      </w:pPr>
      <w:r>
        <w:rPr>
          <w:noProof/>
        </w:rPr>
        <w:drawing>
          <wp:inline distT="0" distB="0" distL="0" distR="0" wp14:anchorId="24DB158F" wp14:editId="728A40BE">
            <wp:extent cx="5398000" cy="2877600"/>
            <wp:effectExtent l="0" t="0" r="0" b="0"/>
            <wp:docPr id="15682166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16690" name=""/>
                    <pic:cNvPicPr/>
                  </pic:nvPicPr>
                  <pic:blipFill>
                    <a:blip r:embed="rId47" cstate="screen">
                      <a:extLst>
                        <a:ext uri="{28A0092B-C50C-407E-A947-70E740481C1C}">
                          <a14:useLocalDpi xmlns:a14="http://schemas.microsoft.com/office/drawing/2010/main"/>
                        </a:ext>
                      </a:extLst>
                    </a:blip>
                    <a:stretch>
                      <a:fillRect/>
                    </a:stretch>
                  </pic:blipFill>
                  <pic:spPr>
                    <a:xfrm>
                      <a:off x="0" y="0"/>
                      <a:ext cx="5398000" cy="2877600"/>
                    </a:xfrm>
                    <a:prstGeom prst="rect">
                      <a:avLst/>
                    </a:prstGeom>
                  </pic:spPr>
                </pic:pic>
              </a:graphicData>
            </a:graphic>
          </wp:inline>
        </w:drawing>
      </w:r>
    </w:p>
    <w:p w14:paraId="1713D9BB" w14:textId="7DAA6A05" w:rsidR="29A43825" w:rsidRDefault="1300B211" w:rsidP="13C70224">
      <w:pPr>
        <w:pStyle w:val="Lgende"/>
        <w:spacing w:line="276" w:lineRule="auto"/>
        <w:jc w:val="both"/>
        <w:rPr>
          <w:rFonts w:eastAsia="Arial" w:cs="Arial"/>
          <w:sz w:val="20"/>
          <w:szCs w:val="20"/>
        </w:rPr>
      </w:pPr>
      <w:r w:rsidRPr="3BFF6491">
        <w:rPr>
          <w:rFonts w:eastAsia="Arial" w:cs="Arial"/>
        </w:rPr>
        <w:t xml:space="preserve">Figure </w:t>
      </w:r>
      <w:r w:rsidR="256EB49D" w:rsidRPr="3BFF6491">
        <w:rPr>
          <w:rFonts w:eastAsia="Arial" w:cs="Arial"/>
        </w:rPr>
        <w:t>35</w:t>
      </w:r>
      <w:r w:rsidRPr="3BFF6491">
        <w:rPr>
          <w:rFonts w:eastAsia="Arial" w:cs="Arial"/>
        </w:rPr>
        <w:t xml:space="preserve">. Cartes de localisation des prélèvements de sol réalisés sur la parcelle </w:t>
      </w:r>
      <w:proofErr w:type="spellStart"/>
      <w:r w:rsidRPr="3BFF6491">
        <w:rPr>
          <w:rFonts w:eastAsia="Arial" w:cs="Arial"/>
        </w:rPr>
        <w:t>ThAuto</w:t>
      </w:r>
      <w:proofErr w:type="spellEnd"/>
      <w:r w:rsidRPr="3BFF6491">
        <w:rPr>
          <w:rFonts w:eastAsia="Arial" w:cs="Arial"/>
        </w:rPr>
        <w:t>. La variation de couleur des points représente les résultats des analyses de laboratoire pour le pH KCl. Une maille de 100 m × 100 m (soit 1 ha) est indiquée sur les cartes.</w:t>
      </w:r>
    </w:p>
    <w:p w14:paraId="6A4986C7" w14:textId="623B96A7" w:rsidR="604CB2C3" w:rsidRDefault="13BD10BA" w:rsidP="13C70224">
      <w:pPr>
        <w:spacing w:after="0" w:line="276" w:lineRule="auto"/>
        <w:jc w:val="both"/>
        <w:rPr>
          <w:rFonts w:eastAsia="Arial" w:cs="Arial"/>
        </w:rPr>
      </w:pPr>
      <w:r w:rsidRPr="13C70224">
        <w:rPr>
          <w:rFonts w:eastAsia="Arial" w:cs="Arial"/>
        </w:rPr>
        <w:lastRenderedPageBreak/>
        <w:t>Dans 65 % des cas (11/17), le pH KCl a dépassé la borne supérieure de la plage favorable du pH (6.7-7,3) et atteint un niveau trop basique pour le développement optimal de la plupart des cultures.</w:t>
      </w:r>
    </w:p>
    <w:p w14:paraId="49A4D924" w14:textId="02D25E6B" w:rsidR="31197534" w:rsidRDefault="31197534" w:rsidP="13C70224">
      <w:pPr>
        <w:spacing w:after="0" w:line="276" w:lineRule="auto"/>
        <w:jc w:val="both"/>
        <w:rPr>
          <w:rFonts w:eastAsia="Arial" w:cs="Arial"/>
        </w:rPr>
      </w:pPr>
    </w:p>
    <w:p w14:paraId="507D8546" w14:textId="394D90DD" w:rsidR="76B43A08" w:rsidRDefault="11CAA339" w:rsidP="13C70224">
      <w:pPr>
        <w:spacing w:after="0" w:line="276" w:lineRule="auto"/>
        <w:jc w:val="both"/>
        <w:rPr>
          <w:rFonts w:eastAsia="Arial" w:cs="Arial"/>
        </w:rPr>
      </w:pPr>
      <w:r w:rsidRPr="13C70224">
        <w:rPr>
          <w:rFonts w:eastAsia="Arial" w:cs="Arial"/>
        </w:rPr>
        <w:t xml:space="preserve">Après analyse </w:t>
      </w:r>
      <w:r w:rsidR="4C171DD3" w:rsidRPr="13C70224">
        <w:rPr>
          <w:rFonts w:eastAsia="Arial" w:cs="Arial"/>
        </w:rPr>
        <w:t>des différents résultats disponible pour expliquer pourquoi le pH de la parcelle est devenu légèrement trop basique, différentes hypo</w:t>
      </w:r>
      <w:r w:rsidR="0068F8EC" w:rsidRPr="13C70224">
        <w:rPr>
          <w:rFonts w:eastAsia="Arial" w:cs="Arial"/>
        </w:rPr>
        <w:t>thèses peuvent être avancées :</w:t>
      </w:r>
    </w:p>
    <w:p w14:paraId="70D975E6" w14:textId="1EEA4ED1" w:rsidR="31197534" w:rsidRDefault="31197534" w:rsidP="13C70224">
      <w:pPr>
        <w:spacing w:after="0" w:line="276" w:lineRule="auto"/>
        <w:jc w:val="both"/>
        <w:rPr>
          <w:rFonts w:eastAsia="Arial" w:cs="Arial"/>
        </w:rPr>
      </w:pPr>
    </w:p>
    <w:p w14:paraId="5FF98058" w14:textId="2E9CE46C" w:rsidR="4EFE1DC8" w:rsidRDefault="4334B89C" w:rsidP="13C70224">
      <w:pPr>
        <w:pStyle w:val="Paragraphedeliste"/>
        <w:numPr>
          <w:ilvl w:val="0"/>
          <w:numId w:val="10"/>
        </w:numPr>
        <w:spacing w:line="276" w:lineRule="auto"/>
        <w:jc w:val="both"/>
        <w:rPr>
          <w:rFonts w:eastAsia="Arial" w:cs="Arial"/>
        </w:rPr>
      </w:pPr>
      <w:r w:rsidRPr="13C70224">
        <w:rPr>
          <w:rFonts w:eastAsia="Arial" w:cs="Arial"/>
        </w:rPr>
        <w:t xml:space="preserve">Les quantités d’écume de sucrerie auraient dû être fractionnées afin de faire remonter le pH de la parcelle plus progressivement vers la valeur cible de 7,3. </w:t>
      </w:r>
    </w:p>
    <w:p w14:paraId="2A1BD23F" w14:textId="7A865192" w:rsidR="4EFE1DC8" w:rsidRDefault="4334B89C" w:rsidP="13C70224">
      <w:pPr>
        <w:pStyle w:val="Paragraphedeliste"/>
        <w:numPr>
          <w:ilvl w:val="0"/>
          <w:numId w:val="10"/>
        </w:numPr>
        <w:spacing w:before="240" w:after="240" w:line="276" w:lineRule="auto"/>
        <w:jc w:val="both"/>
        <w:rPr>
          <w:rFonts w:eastAsia="Arial" w:cs="Arial"/>
        </w:rPr>
      </w:pPr>
      <w:r w:rsidRPr="13C70224">
        <w:rPr>
          <w:rFonts w:eastAsia="Arial" w:cs="Arial"/>
        </w:rPr>
        <w:t xml:space="preserve">Une autre explication réside dans le fait que des épandages de matière organique ont été réalisés en septembre 2024 et en août 2025. Les analyses de laboratoire des intrants effectuées en 2023 montrent que les échantillons de compost non chaulés analysés présentaient un pH de 8,1, tandis que les échantillons de fumier affichaient un pH moyen de 8,3. </w:t>
      </w:r>
    </w:p>
    <w:p w14:paraId="11906198" w14:textId="70739E26" w:rsidR="4EFE1DC8" w:rsidRDefault="4334B89C" w:rsidP="13C70224">
      <w:pPr>
        <w:pStyle w:val="Paragraphedeliste"/>
        <w:numPr>
          <w:ilvl w:val="0"/>
          <w:numId w:val="10"/>
        </w:numPr>
        <w:spacing w:line="276" w:lineRule="auto"/>
        <w:jc w:val="both"/>
        <w:rPr>
          <w:rFonts w:eastAsia="Arial" w:cs="Arial"/>
        </w:rPr>
      </w:pPr>
      <w:r w:rsidRPr="13C70224">
        <w:rPr>
          <w:rFonts w:eastAsia="Arial" w:cs="Arial"/>
        </w:rPr>
        <w:t>Les cartes de pH réalisées avec le Veris MSP3 ont sous-estimé le pH dans les zones où celui-ci était pourtant favorable ou légèrement basique. En effet, pour des points dont le pH mesuré en laboratoire par BDB se situait entre 6,7 et 7,4, le Veris indiquait des valeurs plus faibles, comprises entre 6,67 et 6,84. Cette sous-estimation a pu conduire à considérer à tort certaines zones comme nécessitant une correction, ce qui a entraîné un apport potentiellement excessif d’écume de sucrerie.</w:t>
      </w:r>
    </w:p>
    <w:p w14:paraId="18CA456D" w14:textId="57956887" w:rsidR="1FC20747" w:rsidRDefault="1FC20747" w:rsidP="13C70224">
      <w:pPr>
        <w:spacing w:after="0" w:line="276" w:lineRule="auto"/>
        <w:jc w:val="both"/>
        <w:rPr>
          <w:rFonts w:eastAsia="Arial" w:cs="Arial"/>
        </w:rPr>
      </w:pPr>
    </w:p>
    <w:p w14:paraId="2F8C169D" w14:textId="163946D7" w:rsidR="29A43825" w:rsidRDefault="02328AF6" w:rsidP="13C70224">
      <w:pPr>
        <w:pStyle w:val="Titre4"/>
        <w:spacing w:line="276" w:lineRule="auto"/>
        <w:jc w:val="both"/>
        <w:rPr>
          <w:rFonts w:eastAsia="Arial" w:cs="Arial"/>
        </w:rPr>
      </w:pPr>
      <w:r w:rsidRPr="13C70224">
        <w:rPr>
          <w:rFonts w:eastAsia="Arial" w:cs="Arial"/>
        </w:rPr>
        <w:t>InterraScan</w:t>
      </w:r>
    </w:p>
    <w:p w14:paraId="483407C6" w14:textId="04791B1D" w:rsidR="1C352635" w:rsidRDefault="42AC38E4" w:rsidP="13C70224">
      <w:pPr>
        <w:spacing w:before="240" w:after="0" w:line="276" w:lineRule="auto"/>
        <w:jc w:val="both"/>
        <w:rPr>
          <w:rFonts w:eastAsia="Arial" w:cs="Arial"/>
        </w:rPr>
      </w:pPr>
      <w:r w:rsidRPr="13C70224">
        <w:rPr>
          <w:rFonts w:eastAsia="Arial" w:cs="Arial"/>
        </w:rPr>
        <w:t>Aucune modulation de dose n’a été implémentée sur la base des cartes de pH fournies par le service de cartographie des sols InterraScan.</w:t>
      </w:r>
    </w:p>
    <w:p w14:paraId="421216AC" w14:textId="4AA8A111" w:rsidR="1BDD9486" w:rsidRDefault="1BDD9486" w:rsidP="13C70224">
      <w:pPr>
        <w:spacing w:before="240" w:after="0" w:line="276" w:lineRule="auto"/>
        <w:jc w:val="both"/>
        <w:rPr>
          <w:rFonts w:eastAsia="Arial" w:cs="Arial"/>
        </w:rPr>
      </w:pPr>
    </w:p>
    <w:p w14:paraId="4BC0B3E8" w14:textId="7407323A" w:rsidR="72FC1EBD" w:rsidRDefault="6A107122" w:rsidP="0FF8C3A4">
      <w:pPr>
        <w:pStyle w:val="Titre2"/>
      </w:pPr>
      <w:bookmarkStart w:id="23" w:name="_Toc356295761"/>
      <w:r>
        <w:t>Conclusion</w:t>
      </w:r>
      <w:bookmarkEnd w:id="23"/>
    </w:p>
    <w:p w14:paraId="7341D586" w14:textId="147DBC4F" w:rsidR="3409E9F4" w:rsidRDefault="3409E9F4" w:rsidP="0FF8C3A4">
      <w:pPr>
        <w:pStyle w:val="Titre3"/>
        <w:rPr>
          <w:rFonts w:eastAsia="Arial" w:cs="Arial"/>
        </w:rPr>
      </w:pPr>
      <w:r>
        <w:t>Cartographie des propriétés physico-chimique du sol</w:t>
      </w:r>
    </w:p>
    <w:p w14:paraId="2ECC97EE" w14:textId="71E436CF" w:rsidR="1E08A695" w:rsidRDefault="1E08A695" w:rsidP="0FF8C3A4">
      <w:pPr>
        <w:spacing w:before="210" w:after="210" w:line="300" w:lineRule="auto"/>
        <w:jc w:val="both"/>
        <w:rPr>
          <w:rFonts w:eastAsia="Arial" w:cs="Arial"/>
          <w:szCs w:val="20"/>
        </w:rPr>
      </w:pPr>
      <w:r w:rsidRPr="0FF8C3A4">
        <w:rPr>
          <w:rFonts w:eastAsia="Arial" w:cs="Arial"/>
          <w:szCs w:val="20"/>
        </w:rPr>
        <w:t>Les résultats montrent que la robustesse des comparaisons dépend fortement du degré d’hétérogénéité des paramètres du sol au sein des parcelles, mais également de l’incertitude associée aux analyses de laboratoire elles‑mêmes. Un premier enseignement de ce rapport est que la cohérence des résultats entre laboratoires varie selon les paramètres étudiés : elle est élevée pour le pH, mais plus limitée pour le carbone organique, en particulier lors des comparaisons réalisées à l’échelle de la parcelle. Bien que les deux laboratoires utilisent une méthode directe de quantification dérivée de la norme EN 15936, des écarts significatifs ont été observés entre leurs mesures.</w:t>
      </w:r>
    </w:p>
    <w:p w14:paraId="3478FA8A" w14:textId="0CC14B6E" w:rsidR="1E08A695" w:rsidRDefault="1E08A695" w:rsidP="0FF8C3A4">
      <w:pPr>
        <w:spacing w:before="210" w:after="210" w:line="300" w:lineRule="auto"/>
        <w:jc w:val="both"/>
        <w:rPr>
          <w:rFonts w:eastAsia="Arial" w:cs="Arial"/>
          <w:szCs w:val="20"/>
        </w:rPr>
      </w:pPr>
      <w:r w:rsidRPr="0FF8C3A4">
        <w:rPr>
          <w:rFonts w:eastAsia="Arial" w:cs="Arial"/>
          <w:szCs w:val="20"/>
        </w:rPr>
        <w:t>Les comparaisons entre les analyses de laboratoire et les solutions de cartographie mettent également en évidence des performances contrastées selon les paramètres du sol.</w:t>
      </w:r>
    </w:p>
    <w:p w14:paraId="2813CFE3" w14:textId="03A3DB27" w:rsidR="1E08A695" w:rsidRDefault="1E08A695" w:rsidP="0FF8C3A4">
      <w:pPr>
        <w:spacing w:before="210" w:after="210" w:line="300" w:lineRule="auto"/>
        <w:jc w:val="both"/>
        <w:rPr>
          <w:rFonts w:eastAsia="Arial" w:cs="Arial"/>
          <w:szCs w:val="20"/>
        </w:rPr>
      </w:pPr>
      <w:r w:rsidRPr="0FF8C3A4">
        <w:rPr>
          <w:rFonts w:eastAsia="Arial" w:cs="Arial"/>
          <w:szCs w:val="20"/>
        </w:rPr>
        <w:t xml:space="preserve">Concernant le </w:t>
      </w:r>
      <w:r w:rsidRPr="0FF8C3A4">
        <w:rPr>
          <w:rFonts w:eastAsia="Arial" w:cs="Arial"/>
          <w:b/>
          <w:bCs/>
          <w:szCs w:val="20"/>
        </w:rPr>
        <w:t>carbone organique</w:t>
      </w:r>
      <w:r w:rsidRPr="0FF8C3A4">
        <w:rPr>
          <w:rFonts w:eastAsia="Arial" w:cs="Arial"/>
          <w:szCs w:val="20"/>
        </w:rPr>
        <w:t>, les variations observées au sein des parcelles étaient généralement faibles et souvent du même ordre de grandeur que l’erreur de mesure. Dans ce contexte, il est difficile de distinguer une variabilité réelle du sol du bruit lié à la mesure, ce qui rend les comparaisons peu robustes sur la majorité des parcelles. Il n’a donc pas été possible de tirer des conclusions fiables quant aux performances des solutions de cartographie pour ce paramètre.</w:t>
      </w:r>
    </w:p>
    <w:p w14:paraId="07E311F7" w14:textId="38434A7C" w:rsidR="1E08A695" w:rsidRDefault="1E08A695" w:rsidP="0FF8C3A4">
      <w:pPr>
        <w:spacing w:before="210" w:after="210" w:line="300" w:lineRule="auto"/>
        <w:jc w:val="both"/>
        <w:rPr>
          <w:rFonts w:eastAsia="Arial" w:cs="Arial"/>
          <w:szCs w:val="20"/>
        </w:rPr>
      </w:pPr>
      <w:r w:rsidRPr="0FF8C3A4">
        <w:rPr>
          <w:rFonts w:eastAsia="Arial" w:cs="Arial"/>
          <w:szCs w:val="20"/>
        </w:rPr>
        <w:t xml:space="preserve">Pour le </w:t>
      </w:r>
      <w:r w:rsidRPr="0FF8C3A4">
        <w:rPr>
          <w:rFonts w:eastAsia="Arial" w:cs="Arial"/>
          <w:b/>
          <w:bCs/>
          <w:szCs w:val="20"/>
        </w:rPr>
        <w:t>taux d’argile</w:t>
      </w:r>
      <w:r w:rsidRPr="0FF8C3A4">
        <w:rPr>
          <w:rFonts w:eastAsia="Arial" w:cs="Arial"/>
          <w:szCs w:val="20"/>
        </w:rPr>
        <w:t xml:space="preserve">, les résultats sont plus concluants. Lorsque l’analyse est restreinte aux parcelles présentant une hétérogénéité significative, les précisions obtenues avec le Veris MSP3 étaient fortes à très fortes pour l’ensemble des comparaisons. Ces résultats indiquent que la conductivité électrique </w:t>
      </w:r>
      <w:r w:rsidRPr="0FF8C3A4">
        <w:rPr>
          <w:rFonts w:eastAsia="Arial" w:cs="Arial"/>
          <w:szCs w:val="20"/>
        </w:rPr>
        <w:lastRenderedPageBreak/>
        <w:t>mesurée par le Veris MSP3 constitue un proxy fiable de la texture du sol, et plus spécifiquement du taux d’argile, dans le contexte des sols du projet.</w:t>
      </w:r>
      <w:r w:rsidR="647886EB" w:rsidRPr="0FF8C3A4">
        <w:rPr>
          <w:rFonts w:eastAsia="Arial" w:cs="Arial"/>
          <w:szCs w:val="20"/>
        </w:rPr>
        <w:t xml:space="preserve"> Pour InterraScan, les résultats sont plus contrastés, mais les performances obtenues restent globalement satisfaisantes : les précisions étaient fortes à très fortes pour 43 % des parcelles et modérées pour 57 % des parcelles.</w:t>
      </w:r>
    </w:p>
    <w:p w14:paraId="45576BD6" w14:textId="03687355" w:rsidR="1E08A695" w:rsidRDefault="1E08A695" w:rsidP="0FF8C3A4">
      <w:pPr>
        <w:spacing w:before="210" w:after="210" w:line="300" w:lineRule="auto"/>
        <w:jc w:val="both"/>
        <w:rPr>
          <w:rFonts w:eastAsia="Arial" w:cs="Arial"/>
          <w:szCs w:val="20"/>
        </w:rPr>
      </w:pPr>
      <w:r w:rsidRPr="0FF8C3A4">
        <w:rPr>
          <w:rFonts w:eastAsia="Arial" w:cs="Arial"/>
          <w:szCs w:val="20"/>
        </w:rPr>
        <w:t xml:space="preserve">Enfin, pour le </w:t>
      </w:r>
      <w:r w:rsidRPr="0FF8C3A4">
        <w:rPr>
          <w:rFonts w:eastAsia="Arial" w:cs="Arial"/>
          <w:b/>
          <w:bCs/>
          <w:szCs w:val="20"/>
        </w:rPr>
        <w:t>pH</w:t>
      </w:r>
      <w:r w:rsidRPr="0FF8C3A4">
        <w:rPr>
          <w:rFonts w:eastAsia="Arial" w:cs="Arial"/>
          <w:szCs w:val="20"/>
        </w:rPr>
        <w:t>, les résultats diffèrent fortement selon la solution considérée. En se concentrant uniquement sur les parcelles les plus hétérogènes en pH et sur celles pour lesquelles les analyses de sol étaient concordantes entre laboratoires, le Veris MSP3 présente des précisions faibles ou négligeables pour 14 % des parcelles, modérées pour 57 %, et fortes à très fortes pour 29 % des parcelles. À l’inverse, pour InterraScan, les précisions observées étaient faibles ou négligeables pour 100 % des parcelles analysée</w:t>
      </w:r>
      <w:r w:rsidR="2BA4A677" w:rsidRPr="0FF8C3A4">
        <w:rPr>
          <w:rFonts w:eastAsia="Arial" w:cs="Arial"/>
          <w:szCs w:val="20"/>
        </w:rPr>
        <w:t>.</w:t>
      </w:r>
    </w:p>
    <w:p w14:paraId="2FD7E647" w14:textId="09A50F8C" w:rsidR="0FF8C3A4" w:rsidRDefault="0FF8C3A4" w:rsidP="0FF8C3A4">
      <w:pPr>
        <w:spacing w:after="159" w:line="276" w:lineRule="auto"/>
        <w:jc w:val="both"/>
        <w:rPr>
          <w:rFonts w:eastAsia="Arial" w:cs="Arial"/>
        </w:rPr>
      </w:pPr>
    </w:p>
    <w:p w14:paraId="76EDF2E0" w14:textId="009A81B5" w:rsidR="4AC861C7" w:rsidRDefault="4AC861C7" w:rsidP="0FF8C3A4">
      <w:pPr>
        <w:pStyle w:val="Titre3"/>
        <w:rPr>
          <w:rFonts w:eastAsia="Arial" w:cs="Arial"/>
        </w:rPr>
      </w:pPr>
      <w:r>
        <w:t>Effets des applications à taux variable sur les propriétés du sol</w:t>
      </w:r>
    </w:p>
    <w:p w14:paraId="4094EA18" w14:textId="71D5A265" w:rsidR="30B89ABE" w:rsidRDefault="30B89ABE" w:rsidP="0FF8C3A4">
      <w:pPr>
        <w:pStyle w:val="Titre4"/>
      </w:pPr>
      <w:r>
        <w:t>Matière organique</w:t>
      </w:r>
    </w:p>
    <w:p w14:paraId="6A422B5C" w14:textId="30B3B386" w:rsidR="1557CC5C" w:rsidRDefault="1557CC5C" w:rsidP="0FF8C3A4">
      <w:pPr>
        <w:spacing w:after="159" w:line="276" w:lineRule="auto"/>
        <w:jc w:val="both"/>
        <w:rPr>
          <w:rFonts w:eastAsia="Arial" w:cs="Arial"/>
        </w:rPr>
      </w:pPr>
      <w:r w:rsidRPr="0FF8C3A4">
        <w:rPr>
          <w:rFonts w:eastAsia="Arial" w:cs="Arial"/>
          <w:szCs w:val="20"/>
        </w:rPr>
        <w:t>Les vérifications réalisées après les applications de matière organique à taux variable montrent que les zones ciblées par les cartes de prescription ont globalement été respectées.</w:t>
      </w:r>
      <w:r w:rsidR="3CBD8D86" w:rsidRPr="0FF8C3A4">
        <w:rPr>
          <w:rFonts w:eastAsia="Arial" w:cs="Arial"/>
          <w:szCs w:val="20"/>
        </w:rPr>
        <w:t xml:space="preserve"> </w:t>
      </w:r>
      <w:r w:rsidR="3CBD8D86" w:rsidRPr="0FF8C3A4">
        <w:rPr>
          <w:rFonts w:eastAsia="Arial" w:cs="Arial"/>
        </w:rPr>
        <w:t xml:space="preserve">L’effet agronomique des applications à taux variables de matière organique a pu être analysé sur quatre parcelles du projet en comparaison les analyses de sol réalisées avant et après intervention. </w:t>
      </w:r>
      <w:r w:rsidRPr="0FF8C3A4">
        <w:rPr>
          <w:rFonts w:eastAsia="Arial" w:cs="Arial"/>
          <w:szCs w:val="20"/>
        </w:rPr>
        <w:t xml:space="preserve">Les résultats indiquent que les apports variables permettent d’augmenter le carbone organique dans les zones les </w:t>
      </w:r>
      <w:r w:rsidR="7CD595C6" w:rsidRPr="0FF8C3A4">
        <w:rPr>
          <w:rFonts w:eastAsia="Arial" w:cs="Arial"/>
          <w:szCs w:val="20"/>
        </w:rPr>
        <w:t>ciblées</w:t>
      </w:r>
      <w:r w:rsidRPr="0FF8C3A4">
        <w:rPr>
          <w:rFonts w:eastAsia="Arial" w:cs="Arial"/>
          <w:szCs w:val="20"/>
        </w:rPr>
        <w:t>, en particulier lorsque les apports sont répétés. À l’inverse, lorsque les apports sont ponctuels, les effets sur le carbone organique sont plus limités, voire négatifs, et dépendent de la nature de l’amendement utilisé ainsi que de la gestion globale du carbone organique à l’échelle de la parcelle. Ces résultats confirment l’intérêt des applications à taux variable pour cibler efficacement les zones déficitaires en carbone, tout en soulignant la nécessité de stratégies d’apports régulières et adaptées à la stabilité du carbone des intrants afin d’obtenir des effets durables. </w:t>
      </w:r>
    </w:p>
    <w:p w14:paraId="11A33ED0" w14:textId="4BBF948D" w:rsidR="0FF8C3A4" w:rsidRDefault="0FF8C3A4" w:rsidP="0FF8C3A4"/>
    <w:p w14:paraId="614E0DD9" w14:textId="02A72207" w:rsidR="30B89ABE" w:rsidRDefault="30B89ABE" w:rsidP="0FF8C3A4">
      <w:pPr>
        <w:pStyle w:val="Titre4"/>
      </w:pPr>
      <w:r>
        <w:t>Ecume de sucrerie</w:t>
      </w:r>
    </w:p>
    <w:p w14:paraId="1E83E201" w14:textId="6EF91B1D" w:rsidR="5AD76735" w:rsidRDefault="5AD76735" w:rsidP="0FF8C3A4">
      <w:pPr>
        <w:spacing w:after="159" w:line="276" w:lineRule="auto"/>
        <w:jc w:val="both"/>
        <w:rPr>
          <w:rFonts w:eastAsia="Arial" w:cs="Arial"/>
        </w:rPr>
      </w:pPr>
      <w:r w:rsidRPr="0FF8C3A4">
        <w:rPr>
          <w:rFonts w:eastAsia="Arial" w:cs="Arial"/>
        </w:rPr>
        <w:t xml:space="preserve">L’effet agronomique des applications à taux variables d’écume de sucrerie a pu être analysé sur une </w:t>
      </w:r>
      <w:r w:rsidR="469BC324" w:rsidRPr="0FF8C3A4">
        <w:rPr>
          <w:rFonts w:eastAsia="Arial" w:cs="Arial"/>
        </w:rPr>
        <w:t>parcelle du projet en</w:t>
      </w:r>
      <w:r w:rsidRPr="0FF8C3A4">
        <w:rPr>
          <w:rFonts w:eastAsia="Arial" w:cs="Arial"/>
        </w:rPr>
        <w:t xml:space="preserve"> comparaison </w:t>
      </w:r>
      <w:r w:rsidR="1A788A79" w:rsidRPr="0FF8C3A4">
        <w:rPr>
          <w:rFonts w:eastAsia="Arial" w:cs="Arial"/>
        </w:rPr>
        <w:t>l</w:t>
      </w:r>
      <w:r w:rsidRPr="0FF8C3A4">
        <w:rPr>
          <w:rFonts w:eastAsia="Arial" w:cs="Arial"/>
        </w:rPr>
        <w:t>es analyses de sol réalisées avant et après intervention.</w:t>
      </w:r>
    </w:p>
    <w:p w14:paraId="66F69FAF" w14:textId="397317A5" w:rsidR="5AD76735" w:rsidRDefault="5AD76735" w:rsidP="0FF8C3A4">
      <w:pPr>
        <w:spacing w:after="159" w:line="276" w:lineRule="auto"/>
        <w:jc w:val="both"/>
      </w:pPr>
      <w:r w:rsidRPr="0FF8C3A4">
        <w:rPr>
          <w:rFonts w:eastAsia="Arial" w:cs="Arial"/>
        </w:rPr>
        <w:t>Les résultats montrent une augmentation marquée du pH moyen de la parcelle, passant de 6,81 à 7,37, accompagnée d’une forte diminution de l’hétérogénéité intra‑parcellaire, le coefficient de variation du pH KCl étant réduit de 5,43 % à 1,98 %. Ces éléments témoignent d’un effet positif de la modulation sur l’homogénéisation du pH à l’échelle de la parcelle.</w:t>
      </w:r>
    </w:p>
    <w:p w14:paraId="64B8940F" w14:textId="5A19437A" w:rsidR="0FF8C3A4" w:rsidRDefault="0FF8C3A4" w:rsidP="0FF8C3A4">
      <w:pPr>
        <w:pStyle w:val="Titre1"/>
        <w:spacing w:line="276" w:lineRule="auto"/>
        <w:rPr>
          <w:rFonts w:ascii="Arial" w:eastAsia="Arial" w:hAnsi="Arial" w:cs="Arial"/>
        </w:rPr>
      </w:pPr>
    </w:p>
    <w:p w14:paraId="2423A2CB" w14:textId="6071C1B3" w:rsidR="30D93C8E" w:rsidRDefault="31483DEF" w:rsidP="7B5DCF56">
      <w:pPr>
        <w:pStyle w:val="Titre1"/>
        <w:spacing w:line="276" w:lineRule="auto"/>
        <w:rPr>
          <w:rFonts w:ascii="Arial" w:eastAsia="Arial" w:hAnsi="Arial" w:cs="Arial"/>
        </w:rPr>
      </w:pPr>
      <w:bookmarkStart w:id="24" w:name="_Toc2034185988"/>
      <w:r w:rsidRPr="3BFF6491">
        <w:rPr>
          <w:rFonts w:ascii="Arial" w:eastAsia="Arial" w:hAnsi="Arial" w:cs="Arial"/>
        </w:rPr>
        <w:t xml:space="preserve">Évaluation économique &amp; environnementale </w:t>
      </w:r>
      <w:r w:rsidR="14B62431" w:rsidRPr="3BFF6491">
        <w:rPr>
          <w:rFonts w:ascii="Arial" w:eastAsia="Arial" w:hAnsi="Arial" w:cs="Arial"/>
        </w:rPr>
        <w:t>(WP5)</w:t>
      </w:r>
      <w:bookmarkEnd w:id="24"/>
    </w:p>
    <w:p w14:paraId="50CA8B6A" w14:textId="0FC92DD1" w:rsidR="30D93C8E" w:rsidRDefault="31483DEF" w:rsidP="13C70224">
      <w:pPr>
        <w:pStyle w:val="Titre2"/>
        <w:spacing w:line="276" w:lineRule="auto"/>
        <w:jc w:val="both"/>
        <w:rPr>
          <w:rFonts w:ascii="Arial" w:eastAsia="Arial" w:hAnsi="Arial" w:cs="Arial"/>
        </w:rPr>
      </w:pPr>
      <w:bookmarkStart w:id="25" w:name="_Toc1752756628"/>
      <w:r w:rsidRPr="3BFF6491">
        <w:rPr>
          <w:rFonts w:ascii="Arial" w:eastAsia="Arial" w:hAnsi="Arial" w:cs="Arial"/>
        </w:rPr>
        <w:t>Référence</w:t>
      </w:r>
      <w:bookmarkEnd w:id="25"/>
    </w:p>
    <w:p w14:paraId="0189DEC8" w14:textId="2BFE9FD0" w:rsidR="30D93C8E" w:rsidRDefault="01EB633D" w:rsidP="13C70224">
      <w:pPr>
        <w:spacing w:before="240" w:after="238" w:line="276" w:lineRule="auto"/>
        <w:jc w:val="both"/>
        <w:rPr>
          <w:rFonts w:eastAsia="Arial" w:cs="Arial"/>
        </w:rPr>
      </w:pPr>
      <w:r w:rsidRPr="13C70224">
        <w:rPr>
          <w:rFonts w:eastAsia="Arial" w:cs="Arial"/>
        </w:rPr>
        <w:t>La référence économique de ce rapport correspond à la situation dans laquelle l’agriculteur détermine les quantités à épandre sans tenir compte des hétérogénéités de pH</w:t>
      </w:r>
      <w:r w:rsidR="37558EAC" w:rsidRPr="13C70224">
        <w:rPr>
          <w:rFonts w:eastAsia="Arial" w:cs="Arial"/>
        </w:rPr>
        <w:t xml:space="preserve"> et de matières organique</w:t>
      </w:r>
      <w:r w:rsidRPr="13C70224">
        <w:rPr>
          <w:rFonts w:eastAsia="Arial" w:cs="Arial"/>
        </w:rPr>
        <w:t xml:space="preserve"> au sein des parcelles. Elle reflète ainsi les pratiques habituelles de l’agriculteur avant la mise en place du projet.</w:t>
      </w:r>
    </w:p>
    <w:p w14:paraId="362137C1" w14:textId="67E5F80B" w:rsidR="30D93C8E" w:rsidRDefault="01EB633D" w:rsidP="13C70224">
      <w:pPr>
        <w:spacing w:before="238" w:after="238" w:line="276" w:lineRule="auto"/>
        <w:jc w:val="both"/>
        <w:rPr>
          <w:rFonts w:eastAsia="Arial" w:cs="Arial"/>
        </w:rPr>
      </w:pPr>
      <w:r w:rsidRPr="13C70224">
        <w:rPr>
          <w:rFonts w:eastAsia="Arial" w:cs="Arial"/>
        </w:rPr>
        <w:lastRenderedPageBreak/>
        <w:t>Concrètement, l’agriculteur réalisait une analyse chimique complète du sol pour chaque parcelle tous les quatre ans, ce qui correspondait à la durée moyenne d’une rotation sur l’exploitation. L’échantillonnage consistait à effectuer des prélèvements de sol répartis sur l’ensemble de la parcelle. Cette méthode permettait d’obtenir une analyse représentative de la moyenne de la parcelle, et donc un conseil technique moyen établi à l’échelle de celle-ci.</w:t>
      </w:r>
    </w:p>
    <w:p w14:paraId="0F18221A" w14:textId="001F7445" w:rsidR="3B08455D" w:rsidRDefault="33396F89" w:rsidP="13C70224">
      <w:pPr>
        <w:pStyle w:val="Titre2"/>
        <w:spacing w:line="276" w:lineRule="auto"/>
        <w:jc w:val="both"/>
        <w:rPr>
          <w:rFonts w:ascii="Arial" w:eastAsia="Arial" w:hAnsi="Arial" w:cs="Arial"/>
          <w:sz w:val="20"/>
          <w:szCs w:val="20"/>
        </w:rPr>
      </w:pPr>
      <w:bookmarkStart w:id="26" w:name="_Toc1141494922"/>
      <w:r w:rsidRPr="3BFF6491">
        <w:rPr>
          <w:rFonts w:ascii="Arial" w:eastAsia="Arial" w:hAnsi="Arial" w:cs="Arial"/>
        </w:rPr>
        <w:t>Solution testée</w:t>
      </w:r>
      <w:bookmarkEnd w:id="26"/>
    </w:p>
    <w:p w14:paraId="365B8364" w14:textId="56EF9799" w:rsidR="6E3CBCDA" w:rsidRDefault="6E3CBCDA" w:rsidP="13C70224">
      <w:pPr>
        <w:spacing w:line="276" w:lineRule="auto"/>
        <w:jc w:val="both"/>
        <w:rPr>
          <w:rFonts w:eastAsia="Arial" w:cs="Arial"/>
        </w:rPr>
      </w:pPr>
      <w:r w:rsidRPr="13C70224">
        <w:rPr>
          <w:rFonts w:eastAsia="Arial" w:cs="Arial"/>
        </w:rPr>
        <w:t>Dans le cadre de cette évaluation économique, seule la solution Veris MSP3 a été considérée, car il s’agit de la technologie de cartographie effectivement testée dans le projet pour la mise en œuvre des applications d’intrants à doses variables.</w:t>
      </w:r>
    </w:p>
    <w:p w14:paraId="16B29854" w14:textId="12A2D306" w:rsidR="6E3CBCDA" w:rsidRDefault="6E3CBCDA" w:rsidP="13C70224">
      <w:pPr>
        <w:spacing w:line="276" w:lineRule="auto"/>
        <w:jc w:val="both"/>
        <w:rPr>
          <w:rFonts w:eastAsia="Arial" w:cs="Arial"/>
        </w:rPr>
      </w:pPr>
      <w:r w:rsidRPr="13C70224">
        <w:rPr>
          <w:rFonts w:eastAsia="Arial" w:cs="Arial"/>
        </w:rPr>
        <w:t>Le Veris MSP3 est un outil intégré permettant la cartographie simultanée de plusieurs propriétés physico-chimiques du sol à l’échelle intra-parcellaire, notamment la texture, le pH et la teneur en matière organique. Les cartes générées peuvent ensuite être utilisées pour élaborer des cartes de prescription destinées à différents types d’intrants correctifs, tels que les amendements calcaires et les amendements organiques.</w:t>
      </w:r>
    </w:p>
    <w:p w14:paraId="7ABCDB59" w14:textId="30D1F2E2" w:rsidR="6E3CBCDA" w:rsidRDefault="6E3CBCDA" w:rsidP="13C70224">
      <w:pPr>
        <w:spacing w:line="276" w:lineRule="auto"/>
        <w:jc w:val="both"/>
        <w:rPr>
          <w:rFonts w:eastAsia="Arial" w:cs="Arial"/>
        </w:rPr>
      </w:pPr>
      <w:r w:rsidRPr="13C70224">
        <w:rPr>
          <w:rFonts w:eastAsia="Arial" w:cs="Arial"/>
        </w:rPr>
        <w:t xml:space="preserve">Dans ce contexte, l’évaluation économique de cette solution ne peut pas être réalisée séparément pour chaque pratique agronomique. En effet, le coût de la cartographie est supporté une seule fois, tandis que les informations produites peuvent être mobilisées pour optimiser plusieurs interventions agronomiques. L’analyse économique est donc réalisée de manière globale, en prenant en compte à la fois les applications à doses variables visant la gestion du pH et celles visant l’amélioration de la teneur en matière organique des sols. </w:t>
      </w:r>
    </w:p>
    <w:p w14:paraId="20A5B10B" w14:textId="76DE9287" w:rsidR="30D93C8E" w:rsidRDefault="30D93C8E" w:rsidP="13C70224">
      <w:pPr>
        <w:spacing w:line="276" w:lineRule="auto"/>
        <w:jc w:val="both"/>
        <w:rPr>
          <w:rFonts w:eastAsia="Arial" w:cs="Arial"/>
          <w:highlight w:val="yellow"/>
        </w:rPr>
      </w:pPr>
    </w:p>
    <w:p w14:paraId="4F430130" w14:textId="3BA79E94" w:rsidR="30D93C8E" w:rsidRDefault="26584D99" w:rsidP="13C70224">
      <w:pPr>
        <w:pStyle w:val="Titre2"/>
        <w:spacing w:line="276" w:lineRule="auto"/>
        <w:jc w:val="both"/>
        <w:rPr>
          <w:rFonts w:ascii="Arial" w:eastAsia="Arial" w:hAnsi="Arial" w:cs="Arial"/>
          <w:sz w:val="20"/>
          <w:szCs w:val="20"/>
        </w:rPr>
      </w:pPr>
      <w:bookmarkStart w:id="27" w:name="_Toc786367872"/>
      <w:r w:rsidRPr="3BFF6491">
        <w:rPr>
          <w:rFonts w:ascii="Arial" w:eastAsia="Arial" w:hAnsi="Arial" w:cs="Arial"/>
        </w:rPr>
        <w:t>Évaluation des coûts</w:t>
      </w:r>
      <w:bookmarkEnd w:id="27"/>
    </w:p>
    <w:p w14:paraId="0ED37B4C" w14:textId="1C41D83A" w:rsidR="4F80D13B" w:rsidRDefault="4F80D13B" w:rsidP="13C70224">
      <w:pPr>
        <w:pStyle w:val="Titre3"/>
        <w:spacing w:line="276" w:lineRule="auto"/>
        <w:rPr>
          <w:rFonts w:eastAsia="Arial" w:cs="Arial"/>
          <w:sz w:val="20"/>
          <w:szCs w:val="20"/>
        </w:rPr>
      </w:pPr>
      <w:r w:rsidRPr="13C70224">
        <w:rPr>
          <w:rFonts w:eastAsia="Arial" w:cs="Arial"/>
        </w:rPr>
        <w:t>Mesure</w:t>
      </w:r>
      <w:r w:rsidR="0A5437A3" w:rsidRPr="13C70224">
        <w:rPr>
          <w:rFonts w:eastAsia="Arial" w:cs="Arial"/>
        </w:rPr>
        <w:t xml:space="preserve"> des propriétés</w:t>
      </w:r>
      <w:r w:rsidR="2C013949" w:rsidRPr="13C70224">
        <w:rPr>
          <w:rFonts w:eastAsia="Arial" w:cs="Arial"/>
        </w:rPr>
        <w:t xml:space="preserve"> du sol</w:t>
      </w:r>
    </w:p>
    <w:p w14:paraId="38B019D6" w14:textId="1561CE42" w:rsidR="6E869D71" w:rsidRDefault="6E869D71" w:rsidP="13C70224">
      <w:pPr>
        <w:spacing w:before="240" w:after="240" w:line="276" w:lineRule="auto"/>
        <w:jc w:val="both"/>
        <w:rPr>
          <w:rFonts w:eastAsia="Arial" w:cs="Arial"/>
        </w:rPr>
      </w:pPr>
      <w:r w:rsidRPr="13C70224">
        <w:rPr>
          <w:rFonts w:eastAsia="Arial" w:cs="Arial"/>
        </w:rPr>
        <w:t>Deux approches peuvent être distinguées : l’analyse de sol classique et la cartographie intra-parcellaire par capteurs.</w:t>
      </w:r>
    </w:p>
    <w:p w14:paraId="5C415B8B" w14:textId="4E0E5E66" w:rsidR="6E869D71" w:rsidRDefault="6E869D71" w:rsidP="13C70224">
      <w:pPr>
        <w:pStyle w:val="Paragraphedeliste"/>
        <w:numPr>
          <w:ilvl w:val="0"/>
          <w:numId w:val="4"/>
        </w:numPr>
        <w:spacing w:before="240" w:after="240" w:line="276" w:lineRule="auto"/>
        <w:jc w:val="both"/>
        <w:rPr>
          <w:rFonts w:eastAsia="Arial" w:cs="Arial"/>
        </w:rPr>
      </w:pPr>
      <w:r w:rsidRPr="13C70224">
        <w:rPr>
          <w:rFonts w:eastAsia="Arial" w:cs="Arial"/>
        </w:rPr>
        <w:t>Dans le cas de l’analyse de sol classique, une analyse physico-chimique de type « golf » réalisée par le laboratoire BW revient à 54 € HT par parcelle, tandis qu’une analyse de sol standard + B réalisée par le laboratoire BDB revient à 46 € HT par parcelle. Ces analyses ne se limitent pas à la quantification du pH ou du carbone organique, mais fournissent également des informations sur plusieurs paramètres de fertilité du sol.</w:t>
      </w:r>
      <w:r w:rsidR="440308EB" w:rsidRPr="13C70224">
        <w:rPr>
          <w:rFonts w:eastAsia="Arial" w:cs="Arial"/>
        </w:rPr>
        <w:t xml:space="preserve"> </w:t>
      </w:r>
      <w:r w:rsidRPr="13C70224">
        <w:rPr>
          <w:rFonts w:eastAsia="Arial" w:cs="Arial"/>
        </w:rPr>
        <w:t>En considérant une fréquence d’analyse correspondant à la durée moyenne de la rotation de l’exploitation (4 ans), le coût annuel équivaut à 13,5 € HT/parcelle/an pour BW et 11,5 € HT/parcelle/an pour BDB.</w:t>
      </w:r>
      <w:r w:rsidR="72F89FC2" w:rsidRPr="13C70224">
        <w:rPr>
          <w:rFonts w:eastAsia="Arial" w:cs="Arial"/>
        </w:rPr>
        <w:t xml:space="preserve"> </w:t>
      </w:r>
      <w:r w:rsidRPr="13C70224">
        <w:rPr>
          <w:rFonts w:eastAsia="Arial" w:cs="Arial"/>
        </w:rPr>
        <w:t>Pour les 15 parcelles du projet, représentant une superficie totale de 145 ha, cela correspond à un coût moyen de 1,40 € HT/ha/an pour BW et 1,19 € HT/ha/an pour BDB. À l’échelle de l’exploitation, le coût total annuel des analyses de sol s’élève donc à 202,5 € HT/an pour BW et 172,5 € HT/an pour BDB.</w:t>
      </w:r>
    </w:p>
    <w:p w14:paraId="20FFA72E" w14:textId="713FC6B5" w:rsidR="1BDD9486" w:rsidRDefault="1BDD9486" w:rsidP="13C70224">
      <w:pPr>
        <w:pStyle w:val="Paragraphedeliste"/>
        <w:spacing w:before="240" w:after="240" w:line="276" w:lineRule="auto"/>
        <w:jc w:val="both"/>
        <w:rPr>
          <w:rFonts w:eastAsia="Arial" w:cs="Arial"/>
        </w:rPr>
      </w:pPr>
    </w:p>
    <w:p w14:paraId="07941B3B" w14:textId="6420C8D9" w:rsidR="4C3FDEE0" w:rsidRDefault="25B595DE" w:rsidP="13C70224">
      <w:pPr>
        <w:pStyle w:val="Paragraphedeliste"/>
        <w:numPr>
          <w:ilvl w:val="0"/>
          <w:numId w:val="4"/>
        </w:numPr>
        <w:spacing w:before="240" w:after="240" w:line="276" w:lineRule="auto"/>
        <w:jc w:val="both"/>
        <w:rPr>
          <w:rFonts w:eastAsia="Arial" w:cs="Arial"/>
        </w:rPr>
      </w:pPr>
      <w:r w:rsidRPr="3BFF6491">
        <w:rPr>
          <w:rFonts w:eastAsia="Arial" w:cs="Arial"/>
        </w:rPr>
        <w:t>L</w:t>
      </w:r>
      <w:r w:rsidR="10AE0D00" w:rsidRPr="3BFF6491">
        <w:rPr>
          <w:rFonts w:eastAsia="Arial" w:cs="Arial"/>
        </w:rPr>
        <w:t xml:space="preserve">e service de cartographie du sol réalisé avec le Veris MSP3 </w:t>
      </w:r>
      <w:r w:rsidR="06FAC3D0" w:rsidRPr="3BFF6491">
        <w:rPr>
          <w:rFonts w:eastAsia="Arial" w:cs="Arial"/>
        </w:rPr>
        <w:t>coute 550€ HT par parcelle + 100€ HT par hectare</w:t>
      </w:r>
      <w:r w:rsidR="29A9FD9B" w:rsidRPr="3BFF6491">
        <w:rPr>
          <w:rFonts w:eastAsia="Arial" w:cs="Arial"/>
        </w:rPr>
        <w:t xml:space="preserve">. Le service a </w:t>
      </w:r>
      <w:r w:rsidR="10AE0D00" w:rsidRPr="3BFF6491">
        <w:rPr>
          <w:rFonts w:eastAsia="Arial" w:cs="Arial"/>
        </w:rPr>
        <w:t xml:space="preserve">coûté en moyenne 1 518 € HT par parcelle, pour des parcelles d’une surface moyenne de 9,7 ha (Tableau </w:t>
      </w:r>
      <w:r w:rsidR="16EDAC4A" w:rsidRPr="3BFF6491">
        <w:rPr>
          <w:rFonts w:eastAsia="Arial" w:cs="Arial"/>
        </w:rPr>
        <w:t>6</w:t>
      </w:r>
      <w:r w:rsidR="10AE0D00" w:rsidRPr="3BFF6491">
        <w:rPr>
          <w:rFonts w:eastAsia="Arial" w:cs="Arial"/>
        </w:rPr>
        <w:t xml:space="preserve">). </w:t>
      </w:r>
    </w:p>
    <w:p w14:paraId="4FBA553D" w14:textId="57D645EB" w:rsidR="03AE543C" w:rsidRDefault="57A69524" w:rsidP="3BFF6491">
      <w:pPr>
        <w:spacing w:line="276" w:lineRule="auto"/>
        <w:rPr>
          <w:rFonts w:eastAsia="Arial" w:cs="Arial"/>
        </w:rPr>
      </w:pPr>
      <w:r w:rsidRPr="3BFF6491">
        <w:rPr>
          <w:rFonts w:asciiTheme="minorHAnsi" w:eastAsiaTheme="minorEastAsia" w:hAnsiTheme="minorHAnsi"/>
          <w:i/>
          <w:iCs/>
          <w:color w:val="0E2841" w:themeColor="text2"/>
          <w:sz w:val="18"/>
          <w:szCs w:val="18"/>
        </w:rPr>
        <w:t xml:space="preserve">Tableau </w:t>
      </w:r>
      <w:r w:rsidR="07046333" w:rsidRPr="3BFF6491">
        <w:rPr>
          <w:rFonts w:asciiTheme="minorHAnsi" w:eastAsiaTheme="minorEastAsia" w:hAnsiTheme="minorHAnsi"/>
          <w:i/>
          <w:iCs/>
          <w:color w:val="0E2841" w:themeColor="text2"/>
          <w:sz w:val="18"/>
          <w:szCs w:val="18"/>
        </w:rPr>
        <w:t>6</w:t>
      </w:r>
      <w:r w:rsidRPr="3BFF6491">
        <w:rPr>
          <w:rFonts w:asciiTheme="minorHAnsi" w:eastAsiaTheme="minorEastAsia" w:hAnsiTheme="minorHAnsi"/>
          <w:i/>
          <w:iCs/>
          <w:color w:val="0E2841" w:themeColor="text2"/>
          <w:sz w:val="18"/>
          <w:szCs w:val="18"/>
        </w:rPr>
        <w:t>. Coûts du service Veris MSP3 par parcelle.</w:t>
      </w:r>
    </w:p>
    <w:tbl>
      <w:tblPr>
        <w:tblW w:w="6435" w:type="dxa"/>
        <w:jc w:val="center"/>
        <w:tblBorders>
          <w:top w:val="single" w:sz="6" w:space="0" w:color="auto"/>
          <w:left w:val="single" w:sz="6" w:space="0" w:color="auto"/>
          <w:bottom w:val="single" w:sz="6" w:space="0" w:color="auto"/>
          <w:right w:val="single" w:sz="6" w:space="0" w:color="auto"/>
        </w:tblBorders>
        <w:tblLook w:val="06A0" w:firstRow="1" w:lastRow="0" w:firstColumn="1" w:lastColumn="0" w:noHBand="1" w:noVBand="1"/>
      </w:tblPr>
      <w:tblGrid>
        <w:gridCol w:w="1680"/>
        <w:gridCol w:w="840"/>
        <w:gridCol w:w="1710"/>
        <w:gridCol w:w="1185"/>
        <w:gridCol w:w="1020"/>
      </w:tblGrid>
      <w:tr w:rsidR="1BDD9486" w14:paraId="76154F09" w14:textId="77777777" w:rsidTr="7B5DCF56">
        <w:trPr>
          <w:trHeight w:val="300"/>
          <w:jc w:val="center"/>
        </w:trPr>
        <w:tc>
          <w:tcPr>
            <w:tcW w:w="2520" w:type="dxa"/>
            <w:gridSpan w:val="2"/>
            <w:tcBorders>
              <w:top w:val="single" w:sz="6" w:space="0" w:color="auto"/>
              <w:left w:val="single" w:sz="6" w:space="0" w:color="auto"/>
              <w:bottom w:val="single" w:sz="6" w:space="0" w:color="auto"/>
              <w:right w:val="single" w:sz="6" w:space="0" w:color="000000" w:themeColor="text1"/>
            </w:tcBorders>
            <w:vAlign w:val="center"/>
          </w:tcPr>
          <w:p w14:paraId="0686519C" w14:textId="5A02F7AF"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Parcelles</w:t>
            </w:r>
          </w:p>
        </w:tc>
        <w:tc>
          <w:tcPr>
            <w:tcW w:w="3915" w:type="dxa"/>
            <w:gridSpan w:val="3"/>
            <w:tcBorders>
              <w:top w:val="single" w:sz="6" w:space="0" w:color="auto"/>
              <w:left w:val="nil"/>
              <w:bottom w:val="single" w:sz="6" w:space="0" w:color="auto"/>
              <w:right w:val="single" w:sz="6" w:space="0" w:color="000000" w:themeColor="text1"/>
            </w:tcBorders>
            <w:vAlign w:val="center"/>
          </w:tcPr>
          <w:p w14:paraId="5C17D2BB" w14:textId="25F4F945"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Coûts Veris MSP3 (€ HT)</w:t>
            </w:r>
          </w:p>
        </w:tc>
      </w:tr>
      <w:tr w:rsidR="1BDD9486" w14:paraId="2537C491"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000000" w:themeColor="text1"/>
            </w:tcBorders>
            <w:vAlign w:val="center"/>
          </w:tcPr>
          <w:p w14:paraId="2C015562" w14:textId="6B28716E" w:rsidR="1BDD9486" w:rsidRDefault="1BDD9486" w:rsidP="13C70224">
            <w:pPr>
              <w:spacing w:after="0" w:line="276" w:lineRule="auto"/>
              <w:jc w:val="center"/>
              <w:rPr>
                <w:rFonts w:eastAsia="Arial" w:cs="Arial"/>
              </w:rPr>
            </w:pPr>
            <w:r w:rsidRPr="13C70224">
              <w:rPr>
                <w:rFonts w:eastAsia="Arial" w:cs="Arial"/>
                <w:b/>
                <w:bCs/>
              </w:rPr>
              <w:lastRenderedPageBreak/>
              <w:t>Nom</w:t>
            </w:r>
          </w:p>
        </w:tc>
        <w:tc>
          <w:tcPr>
            <w:tcW w:w="840" w:type="dxa"/>
            <w:tcBorders>
              <w:top w:val="nil"/>
              <w:left w:val="single" w:sz="6" w:space="0" w:color="auto"/>
              <w:bottom w:val="single" w:sz="6" w:space="0" w:color="auto"/>
              <w:right w:val="single" w:sz="6" w:space="0" w:color="auto"/>
            </w:tcBorders>
            <w:vAlign w:val="center"/>
          </w:tcPr>
          <w:p w14:paraId="0800B388" w14:textId="5E7CBAC7" w:rsidR="00594988" w:rsidRDefault="0EE135F4" w:rsidP="13C70224">
            <w:pPr>
              <w:spacing w:after="0" w:line="276" w:lineRule="auto"/>
              <w:jc w:val="center"/>
              <w:rPr>
                <w:rFonts w:eastAsia="Arial" w:cs="Arial"/>
              </w:rPr>
            </w:pPr>
            <w:r w:rsidRPr="13C70224">
              <w:rPr>
                <w:rFonts w:eastAsia="Arial" w:cs="Arial"/>
                <w:b/>
                <w:bCs/>
              </w:rPr>
              <w:t>Ha</w:t>
            </w:r>
          </w:p>
        </w:tc>
        <w:tc>
          <w:tcPr>
            <w:tcW w:w="1710" w:type="dxa"/>
            <w:tcBorders>
              <w:top w:val="single" w:sz="6" w:space="0" w:color="auto"/>
              <w:left w:val="single" w:sz="6" w:space="0" w:color="auto"/>
              <w:bottom w:val="single" w:sz="6" w:space="0" w:color="auto"/>
              <w:right w:val="single" w:sz="6" w:space="0" w:color="000000" w:themeColor="text1"/>
            </w:tcBorders>
            <w:vAlign w:val="center"/>
          </w:tcPr>
          <w:p w14:paraId="121B656D" w14:textId="251687B1"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Forfait / parcelle</w:t>
            </w:r>
          </w:p>
        </w:tc>
        <w:tc>
          <w:tcPr>
            <w:tcW w:w="1185" w:type="dxa"/>
            <w:tcBorders>
              <w:top w:val="nil"/>
              <w:left w:val="single" w:sz="6" w:space="0" w:color="auto"/>
              <w:bottom w:val="single" w:sz="6" w:space="0" w:color="auto"/>
              <w:right w:val="single" w:sz="6" w:space="0" w:color="auto"/>
            </w:tcBorders>
            <w:vAlign w:val="center"/>
          </w:tcPr>
          <w:p w14:paraId="4500A430" w14:textId="2B931423"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Coût / ha</w:t>
            </w:r>
          </w:p>
        </w:tc>
        <w:tc>
          <w:tcPr>
            <w:tcW w:w="1020" w:type="dxa"/>
            <w:tcBorders>
              <w:top w:val="nil"/>
              <w:left w:val="single" w:sz="6" w:space="0" w:color="auto"/>
              <w:bottom w:val="single" w:sz="6" w:space="0" w:color="auto"/>
              <w:right w:val="single" w:sz="6" w:space="0" w:color="000000" w:themeColor="text1"/>
            </w:tcBorders>
            <w:vAlign w:val="center"/>
          </w:tcPr>
          <w:p w14:paraId="3FBFADC6" w14:textId="687CB9C6"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Total</w:t>
            </w:r>
          </w:p>
        </w:tc>
      </w:tr>
      <w:tr w:rsidR="1BDD9486" w14:paraId="7FA0B0F5"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5C66A732" w14:textId="585C1828" w:rsidR="1BDD9486" w:rsidRDefault="1BDD9486" w:rsidP="13C70224">
            <w:pPr>
              <w:spacing w:after="0" w:line="276" w:lineRule="auto"/>
              <w:jc w:val="center"/>
              <w:rPr>
                <w:rFonts w:eastAsia="Arial" w:cs="Arial"/>
              </w:rPr>
            </w:pPr>
            <w:r w:rsidRPr="13C70224">
              <w:rPr>
                <w:rFonts w:eastAsia="Arial" w:cs="Arial"/>
                <w:b/>
                <w:bCs/>
              </w:rPr>
              <w:t xml:space="preserve"> </w:t>
            </w:r>
          </w:p>
        </w:tc>
        <w:tc>
          <w:tcPr>
            <w:tcW w:w="840" w:type="dxa"/>
            <w:tcBorders>
              <w:top w:val="single" w:sz="6" w:space="0" w:color="auto"/>
              <w:left w:val="single" w:sz="6" w:space="0" w:color="auto"/>
              <w:bottom w:val="single" w:sz="6" w:space="0" w:color="auto"/>
              <w:right w:val="single" w:sz="6" w:space="0" w:color="auto"/>
            </w:tcBorders>
            <w:vAlign w:val="center"/>
          </w:tcPr>
          <w:p w14:paraId="5921C64F" w14:textId="0EC90EDD" w:rsidR="1BDD9486" w:rsidRDefault="1BDD9486" w:rsidP="13C70224">
            <w:pPr>
              <w:spacing w:after="0" w:line="276" w:lineRule="auto"/>
              <w:jc w:val="center"/>
              <w:rPr>
                <w:rFonts w:eastAsia="Arial" w:cs="Arial"/>
              </w:rPr>
            </w:pPr>
            <w:r w:rsidRPr="13C70224">
              <w:rPr>
                <w:rFonts w:eastAsia="Arial" w:cs="Arial"/>
                <w:b/>
                <w:bCs/>
              </w:rPr>
              <w:t xml:space="preserve"> </w:t>
            </w:r>
          </w:p>
        </w:tc>
        <w:tc>
          <w:tcPr>
            <w:tcW w:w="1710" w:type="dxa"/>
            <w:tcBorders>
              <w:top w:val="single" w:sz="6" w:space="0" w:color="auto"/>
              <w:left w:val="single" w:sz="6" w:space="0" w:color="auto"/>
              <w:bottom w:val="single" w:sz="6" w:space="0" w:color="auto"/>
              <w:right w:val="single" w:sz="6" w:space="0" w:color="auto"/>
            </w:tcBorders>
            <w:vAlign w:val="center"/>
          </w:tcPr>
          <w:p w14:paraId="6C174DE2" w14:textId="66DB3750"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75328308" w14:textId="2326C85A"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100 €</w:t>
            </w:r>
          </w:p>
        </w:tc>
        <w:tc>
          <w:tcPr>
            <w:tcW w:w="1020" w:type="dxa"/>
            <w:tcBorders>
              <w:top w:val="single" w:sz="6" w:space="0" w:color="auto"/>
              <w:left w:val="single" w:sz="6" w:space="0" w:color="auto"/>
              <w:bottom w:val="single" w:sz="6" w:space="0" w:color="auto"/>
              <w:right w:val="single" w:sz="6" w:space="0" w:color="auto"/>
            </w:tcBorders>
            <w:vAlign w:val="center"/>
          </w:tcPr>
          <w:p w14:paraId="009FE40E" w14:textId="489995CE"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 xml:space="preserve"> </w:t>
            </w:r>
          </w:p>
        </w:tc>
      </w:tr>
      <w:tr w:rsidR="1BDD9486" w14:paraId="00FC5D20" w14:textId="77777777" w:rsidTr="7B5DCF56">
        <w:trPr>
          <w:trHeight w:val="315"/>
          <w:jc w:val="center"/>
        </w:trPr>
        <w:tc>
          <w:tcPr>
            <w:tcW w:w="1680" w:type="dxa"/>
            <w:tcBorders>
              <w:top w:val="single" w:sz="6" w:space="0" w:color="auto"/>
              <w:left w:val="single" w:sz="6" w:space="0" w:color="auto"/>
              <w:bottom w:val="single" w:sz="6" w:space="0" w:color="auto"/>
              <w:right w:val="single" w:sz="6" w:space="0" w:color="auto"/>
            </w:tcBorders>
            <w:vAlign w:val="center"/>
          </w:tcPr>
          <w:p w14:paraId="52DF80CC" w14:textId="31F43A0A" w:rsidR="1BDD9486" w:rsidRDefault="1BDD9486" w:rsidP="13C70224">
            <w:pPr>
              <w:spacing w:after="0" w:line="276" w:lineRule="auto"/>
              <w:rPr>
                <w:rFonts w:eastAsia="Arial" w:cs="Arial"/>
              </w:rPr>
            </w:pPr>
            <w:r w:rsidRPr="13C70224">
              <w:rPr>
                <w:rFonts w:eastAsia="Arial" w:cs="Arial"/>
              </w:rPr>
              <w:t>Emines</w:t>
            </w:r>
          </w:p>
        </w:tc>
        <w:tc>
          <w:tcPr>
            <w:tcW w:w="840" w:type="dxa"/>
            <w:tcBorders>
              <w:top w:val="single" w:sz="6" w:space="0" w:color="auto"/>
              <w:left w:val="single" w:sz="6" w:space="0" w:color="auto"/>
              <w:bottom w:val="single" w:sz="6" w:space="0" w:color="auto"/>
              <w:right w:val="single" w:sz="6" w:space="0" w:color="auto"/>
            </w:tcBorders>
            <w:vAlign w:val="center"/>
          </w:tcPr>
          <w:p w14:paraId="2000FAF0" w14:textId="689A4F4E" w:rsidR="1BDD9486" w:rsidRDefault="1BDD9486" w:rsidP="13C70224">
            <w:pPr>
              <w:spacing w:after="0" w:line="276" w:lineRule="auto"/>
              <w:jc w:val="center"/>
              <w:rPr>
                <w:rFonts w:eastAsia="Arial" w:cs="Arial"/>
              </w:rPr>
            </w:pPr>
            <w:r w:rsidRPr="13C70224">
              <w:rPr>
                <w:rFonts w:eastAsia="Arial" w:cs="Arial"/>
              </w:rPr>
              <w:t>8,5</w:t>
            </w:r>
          </w:p>
        </w:tc>
        <w:tc>
          <w:tcPr>
            <w:tcW w:w="1710" w:type="dxa"/>
            <w:tcBorders>
              <w:top w:val="single" w:sz="6" w:space="0" w:color="auto"/>
              <w:left w:val="single" w:sz="6" w:space="0" w:color="auto"/>
              <w:bottom w:val="single" w:sz="6" w:space="0" w:color="auto"/>
              <w:right w:val="single" w:sz="6" w:space="0" w:color="auto"/>
            </w:tcBorders>
            <w:vAlign w:val="center"/>
          </w:tcPr>
          <w:p w14:paraId="2292D63F" w14:textId="000F25B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6A764B3D" w14:textId="0655B1DE"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850 €</w:t>
            </w:r>
          </w:p>
        </w:tc>
        <w:tc>
          <w:tcPr>
            <w:tcW w:w="1020" w:type="dxa"/>
            <w:tcBorders>
              <w:top w:val="single" w:sz="6" w:space="0" w:color="auto"/>
              <w:left w:val="single" w:sz="6" w:space="0" w:color="auto"/>
              <w:bottom w:val="single" w:sz="6" w:space="0" w:color="auto"/>
              <w:right w:val="single" w:sz="6" w:space="0" w:color="auto"/>
            </w:tcBorders>
            <w:vAlign w:val="center"/>
          </w:tcPr>
          <w:p w14:paraId="0A90537C" w14:textId="1772E93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1.400 €</w:t>
            </w:r>
          </w:p>
        </w:tc>
      </w:tr>
      <w:tr w:rsidR="1BDD9486" w14:paraId="05804A0E"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062F9924" w14:textId="6D07740B" w:rsidR="1BDD9486" w:rsidRDefault="1BDD9486" w:rsidP="13C70224">
            <w:pPr>
              <w:spacing w:after="0" w:line="276" w:lineRule="auto"/>
              <w:rPr>
                <w:rFonts w:eastAsia="Arial" w:cs="Arial"/>
              </w:rPr>
            </w:pPr>
            <w:proofErr w:type="spellStart"/>
            <w:r w:rsidRPr="13C70224">
              <w:rPr>
                <w:rFonts w:eastAsia="Arial" w:cs="Arial"/>
              </w:rPr>
              <w:t>Flabat</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1B44F54D" w14:textId="38FFAD6E" w:rsidR="1BDD9486" w:rsidRDefault="1BDD9486" w:rsidP="13C70224">
            <w:pPr>
              <w:spacing w:after="0" w:line="276" w:lineRule="auto"/>
              <w:jc w:val="center"/>
              <w:rPr>
                <w:rFonts w:eastAsia="Arial" w:cs="Arial"/>
              </w:rPr>
            </w:pPr>
            <w:r w:rsidRPr="13C70224">
              <w:rPr>
                <w:rFonts w:eastAsia="Arial" w:cs="Arial"/>
              </w:rPr>
              <w:t>7,3</w:t>
            </w:r>
          </w:p>
        </w:tc>
        <w:tc>
          <w:tcPr>
            <w:tcW w:w="1710" w:type="dxa"/>
            <w:tcBorders>
              <w:top w:val="single" w:sz="6" w:space="0" w:color="auto"/>
              <w:left w:val="single" w:sz="6" w:space="0" w:color="auto"/>
              <w:bottom w:val="single" w:sz="6" w:space="0" w:color="auto"/>
              <w:right w:val="single" w:sz="6" w:space="0" w:color="auto"/>
            </w:tcBorders>
            <w:vAlign w:val="center"/>
          </w:tcPr>
          <w:p w14:paraId="08889166" w14:textId="34650C65"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1414CC21" w14:textId="08E0C3FE"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730 €</w:t>
            </w:r>
          </w:p>
        </w:tc>
        <w:tc>
          <w:tcPr>
            <w:tcW w:w="1020" w:type="dxa"/>
            <w:tcBorders>
              <w:top w:val="single" w:sz="6" w:space="0" w:color="auto"/>
              <w:left w:val="single" w:sz="6" w:space="0" w:color="auto"/>
              <w:bottom w:val="single" w:sz="6" w:space="0" w:color="auto"/>
              <w:right w:val="single" w:sz="6" w:space="0" w:color="auto"/>
            </w:tcBorders>
            <w:vAlign w:val="center"/>
          </w:tcPr>
          <w:p w14:paraId="0EED402A" w14:textId="1B0A9B9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1.280 €</w:t>
            </w:r>
          </w:p>
        </w:tc>
      </w:tr>
      <w:tr w:rsidR="1BDD9486" w14:paraId="1843D3E9"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1C2632FD" w14:textId="253FAFD4" w:rsidR="1BDD9486" w:rsidRDefault="1BDD9486" w:rsidP="13C70224">
            <w:pPr>
              <w:spacing w:after="0" w:line="276" w:lineRule="auto"/>
              <w:rPr>
                <w:rFonts w:eastAsia="Arial" w:cs="Arial"/>
              </w:rPr>
            </w:pPr>
            <w:proofErr w:type="spellStart"/>
            <w:r w:rsidRPr="13C70224">
              <w:rPr>
                <w:rFonts w:eastAsia="Arial" w:cs="Arial"/>
              </w:rPr>
              <w:t>GrdSeumoy_D</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7C5D5D42" w14:textId="0AE3EB00" w:rsidR="1BDD9486" w:rsidRDefault="1BDD9486" w:rsidP="13C70224">
            <w:pPr>
              <w:spacing w:after="0" w:line="276" w:lineRule="auto"/>
              <w:jc w:val="center"/>
              <w:rPr>
                <w:rFonts w:eastAsia="Arial" w:cs="Arial"/>
              </w:rPr>
            </w:pPr>
            <w:r w:rsidRPr="13C70224">
              <w:rPr>
                <w:rFonts w:eastAsia="Arial" w:cs="Arial"/>
              </w:rPr>
              <w:t>8,6</w:t>
            </w:r>
          </w:p>
        </w:tc>
        <w:tc>
          <w:tcPr>
            <w:tcW w:w="1710" w:type="dxa"/>
            <w:tcBorders>
              <w:top w:val="single" w:sz="6" w:space="0" w:color="auto"/>
              <w:left w:val="single" w:sz="6" w:space="0" w:color="auto"/>
              <w:bottom w:val="single" w:sz="6" w:space="0" w:color="auto"/>
              <w:right w:val="single" w:sz="6" w:space="0" w:color="auto"/>
            </w:tcBorders>
            <w:vAlign w:val="center"/>
          </w:tcPr>
          <w:p w14:paraId="59FD1912" w14:textId="35044079"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3FD9FC7C" w14:textId="1CE7E1E5"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860 €</w:t>
            </w:r>
          </w:p>
        </w:tc>
        <w:tc>
          <w:tcPr>
            <w:tcW w:w="1020" w:type="dxa"/>
            <w:tcBorders>
              <w:top w:val="single" w:sz="6" w:space="0" w:color="auto"/>
              <w:left w:val="single" w:sz="6" w:space="0" w:color="auto"/>
              <w:bottom w:val="single" w:sz="6" w:space="0" w:color="auto"/>
              <w:right w:val="single" w:sz="6" w:space="0" w:color="auto"/>
            </w:tcBorders>
            <w:vAlign w:val="center"/>
          </w:tcPr>
          <w:p w14:paraId="1F7396F4" w14:textId="5553C3A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1.410 €</w:t>
            </w:r>
          </w:p>
        </w:tc>
      </w:tr>
      <w:tr w:rsidR="1BDD9486" w14:paraId="6E32188C"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0043449F" w14:textId="3E269D81" w:rsidR="1BDD9486" w:rsidRDefault="1BDD9486" w:rsidP="13C70224">
            <w:pPr>
              <w:spacing w:after="0" w:line="276" w:lineRule="auto"/>
              <w:rPr>
                <w:rFonts w:eastAsia="Arial" w:cs="Arial"/>
              </w:rPr>
            </w:pPr>
            <w:proofErr w:type="spellStart"/>
            <w:r w:rsidRPr="13C70224">
              <w:rPr>
                <w:rFonts w:eastAsia="Arial" w:cs="Arial"/>
              </w:rPr>
              <w:t>GrdSeumoy_G</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3BCC8D07" w14:textId="7BCE937A" w:rsidR="1BDD9486" w:rsidRDefault="1BDD9486" w:rsidP="13C70224">
            <w:pPr>
              <w:spacing w:after="0" w:line="276" w:lineRule="auto"/>
              <w:jc w:val="center"/>
              <w:rPr>
                <w:rFonts w:eastAsia="Arial" w:cs="Arial"/>
              </w:rPr>
            </w:pPr>
            <w:r w:rsidRPr="13C70224">
              <w:rPr>
                <w:rFonts w:eastAsia="Arial" w:cs="Arial"/>
              </w:rPr>
              <w:t>12,0</w:t>
            </w:r>
          </w:p>
        </w:tc>
        <w:tc>
          <w:tcPr>
            <w:tcW w:w="1710" w:type="dxa"/>
            <w:tcBorders>
              <w:top w:val="single" w:sz="6" w:space="0" w:color="auto"/>
              <w:left w:val="single" w:sz="6" w:space="0" w:color="auto"/>
              <w:bottom w:val="single" w:sz="6" w:space="0" w:color="auto"/>
              <w:right w:val="single" w:sz="6" w:space="0" w:color="auto"/>
            </w:tcBorders>
            <w:vAlign w:val="center"/>
          </w:tcPr>
          <w:p w14:paraId="1388918F" w14:textId="76D9F9B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1CDC1533" w14:textId="78D5D7F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1.200 €</w:t>
            </w:r>
          </w:p>
        </w:tc>
        <w:tc>
          <w:tcPr>
            <w:tcW w:w="1020" w:type="dxa"/>
            <w:tcBorders>
              <w:top w:val="single" w:sz="6" w:space="0" w:color="auto"/>
              <w:left w:val="single" w:sz="6" w:space="0" w:color="auto"/>
              <w:bottom w:val="single" w:sz="6" w:space="0" w:color="auto"/>
              <w:right w:val="single" w:sz="6" w:space="0" w:color="auto"/>
            </w:tcBorders>
            <w:vAlign w:val="center"/>
          </w:tcPr>
          <w:p w14:paraId="72EA9C4C" w14:textId="3EDE4049"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1.750 €</w:t>
            </w:r>
          </w:p>
        </w:tc>
      </w:tr>
      <w:tr w:rsidR="1BDD9486" w14:paraId="4E564BA6"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69425452" w14:textId="37C96A0A" w:rsidR="1BDD9486" w:rsidRDefault="1BDD9486" w:rsidP="13C70224">
            <w:pPr>
              <w:spacing w:after="0" w:line="276" w:lineRule="auto"/>
              <w:rPr>
                <w:rFonts w:eastAsia="Arial" w:cs="Arial"/>
              </w:rPr>
            </w:pPr>
            <w:proofErr w:type="spellStart"/>
            <w:r w:rsidRPr="13C70224">
              <w:rPr>
                <w:rFonts w:eastAsia="Arial" w:cs="Arial"/>
              </w:rPr>
              <w:t>GrdVillers_G</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2CAB787D" w14:textId="1F948419" w:rsidR="1BDD9486" w:rsidRDefault="1BDD9486" w:rsidP="13C70224">
            <w:pPr>
              <w:spacing w:after="0" w:line="276" w:lineRule="auto"/>
              <w:jc w:val="center"/>
              <w:rPr>
                <w:rFonts w:eastAsia="Arial" w:cs="Arial"/>
              </w:rPr>
            </w:pPr>
            <w:r w:rsidRPr="13C70224">
              <w:rPr>
                <w:rFonts w:eastAsia="Arial" w:cs="Arial"/>
              </w:rPr>
              <w:t>10,0</w:t>
            </w:r>
          </w:p>
        </w:tc>
        <w:tc>
          <w:tcPr>
            <w:tcW w:w="1710" w:type="dxa"/>
            <w:tcBorders>
              <w:top w:val="single" w:sz="6" w:space="0" w:color="auto"/>
              <w:left w:val="single" w:sz="6" w:space="0" w:color="auto"/>
              <w:bottom w:val="single" w:sz="6" w:space="0" w:color="auto"/>
              <w:right w:val="single" w:sz="6" w:space="0" w:color="auto"/>
            </w:tcBorders>
            <w:vAlign w:val="center"/>
          </w:tcPr>
          <w:p w14:paraId="3E1A09B7" w14:textId="0D0F818A"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4A7C8E59" w14:textId="2C9E5218"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1.000 €</w:t>
            </w:r>
          </w:p>
        </w:tc>
        <w:tc>
          <w:tcPr>
            <w:tcW w:w="1020" w:type="dxa"/>
            <w:tcBorders>
              <w:top w:val="single" w:sz="6" w:space="0" w:color="auto"/>
              <w:left w:val="single" w:sz="6" w:space="0" w:color="auto"/>
              <w:bottom w:val="single" w:sz="6" w:space="0" w:color="auto"/>
              <w:right w:val="single" w:sz="6" w:space="0" w:color="auto"/>
            </w:tcBorders>
            <w:vAlign w:val="center"/>
          </w:tcPr>
          <w:p w14:paraId="198E43BD" w14:textId="44684F07"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1.550 €</w:t>
            </w:r>
          </w:p>
        </w:tc>
      </w:tr>
      <w:tr w:rsidR="1BDD9486" w14:paraId="41704838"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4A852CB8" w14:textId="4DF158EF" w:rsidR="1BDD9486" w:rsidRDefault="1BDD9486" w:rsidP="13C70224">
            <w:pPr>
              <w:spacing w:after="0" w:line="276" w:lineRule="auto"/>
              <w:rPr>
                <w:rFonts w:eastAsia="Arial" w:cs="Arial"/>
              </w:rPr>
            </w:pPr>
            <w:proofErr w:type="spellStart"/>
            <w:r w:rsidRPr="13C70224">
              <w:rPr>
                <w:rFonts w:eastAsia="Arial" w:cs="Arial"/>
              </w:rPr>
              <w:t>GrdVillers_D</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7D3F6643" w14:textId="48458747" w:rsidR="1BDD9486" w:rsidRDefault="1BDD9486" w:rsidP="13C70224">
            <w:pPr>
              <w:spacing w:after="0" w:line="276" w:lineRule="auto"/>
              <w:jc w:val="center"/>
              <w:rPr>
                <w:rFonts w:eastAsia="Arial" w:cs="Arial"/>
              </w:rPr>
            </w:pPr>
            <w:r w:rsidRPr="13C70224">
              <w:rPr>
                <w:rFonts w:eastAsia="Arial" w:cs="Arial"/>
              </w:rPr>
              <w:t>9,0</w:t>
            </w:r>
          </w:p>
        </w:tc>
        <w:tc>
          <w:tcPr>
            <w:tcW w:w="1710" w:type="dxa"/>
            <w:tcBorders>
              <w:top w:val="single" w:sz="6" w:space="0" w:color="auto"/>
              <w:left w:val="single" w:sz="6" w:space="0" w:color="auto"/>
              <w:bottom w:val="single" w:sz="6" w:space="0" w:color="auto"/>
              <w:right w:val="single" w:sz="6" w:space="0" w:color="auto"/>
            </w:tcBorders>
            <w:vAlign w:val="center"/>
          </w:tcPr>
          <w:p w14:paraId="5F7DFB16" w14:textId="7F33628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6B08D8D2" w14:textId="25E9BEE6"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900 €</w:t>
            </w:r>
          </w:p>
        </w:tc>
        <w:tc>
          <w:tcPr>
            <w:tcW w:w="1020" w:type="dxa"/>
            <w:tcBorders>
              <w:top w:val="single" w:sz="6" w:space="0" w:color="auto"/>
              <w:left w:val="single" w:sz="6" w:space="0" w:color="auto"/>
              <w:bottom w:val="single" w:sz="6" w:space="0" w:color="auto"/>
              <w:right w:val="single" w:sz="6" w:space="0" w:color="auto"/>
            </w:tcBorders>
            <w:vAlign w:val="center"/>
          </w:tcPr>
          <w:p w14:paraId="4BDD1AA4" w14:textId="242E3168"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1.450 €</w:t>
            </w:r>
          </w:p>
        </w:tc>
      </w:tr>
      <w:tr w:rsidR="1BDD9486" w14:paraId="0C2CBE53"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2D3058FA" w14:textId="0A8B0DE8" w:rsidR="1BDD9486" w:rsidRDefault="1BDD9486" w:rsidP="13C70224">
            <w:pPr>
              <w:spacing w:after="0" w:line="276" w:lineRule="auto"/>
              <w:rPr>
                <w:rFonts w:eastAsia="Arial" w:cs="Arial"/>
              </w:rPr>
            </w:pPr>
            <w:r w:rsidRPr="13C70224">
              <w:rPr>
                <w:rFonts w:eastAsia="Arial" w:cs="Arial"/>
              </w:rPr>
              <w:t>Lambert</w:t>
            </w:r>
          </w:p>
        </w:tc>
        <w:tc>
          <w:tcPr>
            <w:tcW w:w="840" w:type="dxa"/>
            <w:tcBorders>
              <w:top w:val="single" w:sz="6" w:space="0" w:color="auto"/>
              <w:left w:val="single" w:sz="6" w:space="0" w:color="auto"/>
              <w:bottom w:val="single" w:sz="6" w:space="0" w:color="auto"/>
              <w:right w:val="single" w:sz="6" w:space="0" w:color="auto"/>
            </w:tcBorders>
            <w:vAlign w:val="center"/>
          </w:tcPr>
          <w:p w14:paraId="4437CB80" w14:textId="34580879" w:rsidR="1BDD9486" w:rsidRDefault="1BDD9486" w:rsidP="13C70224">
            <w:pPr>
              <w:spacing w:after="0" w:line="276" w:lineRule="auto"/>
              <w:jc w:val="center"/>
              <w:rPr>
                <w:rFonts w:eastAsia="Arial" w:cs="Arial"/>
              </w:rPr>
            </w:pPr>
            <w:r w:rsidRPr="13C70224">
              <w:rPr>
                <w:rFonts w:eastAsia="Arial" w:cs="Arial"/>
              </w:rPr>
              <w:t>5,2</w:t>
            </w:r>
          </w:p>
        </w:tc>
        <w:tc>
          <w:tcPr>
            <w:tcW w:w="1710" w:type="dxa"/>
            <w:tcBorders>
              <w:top w:val="single" w:sz="6" w:space="0" w:color="auto"/>
              <w:left w:val="single" w:sz="6" w:space="0" w:color="auto"/>
              <w:bottom w:val="single" w:sz="6" w:space="0" w:color="auto"/>
              <w:right w:val="single" w:sz="6" w:space="0" w:color="auto"/>
            </w:tcBorders>
            <w:vAlign w:val="center"/>
          </w:tcPr>
          <w:p w14:paraId="0E76FE67" w14:textId="15340D92"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0991D463" w14:textId="5E6C454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520 €</w:t>
            </w:r>
          </w:p>
        </w:tc>
        <w:tc>
          <w:tcPr>
            <w:tcW w:w="1020" w:type="dxa"/>
            <w:tcBorders>
              <w:top w:val="single" w:sz="6" w:space="0" w:color="auto"/>
              <w:left w:val="single" w:sz="6" w:space="0" w:color="auto"/>
              <w:bottom w:val="single" w:sz="6" w:space="0" w:color="auto"/>
              <w:right w:val="single" w:sz="6" w:space="0" w:color="auto"/>
            </w:tcBorders>
            <w:vAlign w:val="center"/>
          </w:tcPr>
          <w:p w14:paraId="1D14A6B9" w14:textId="27A8B397"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1.070 €</w:t>
            </w:r>
          </w:p>
        </w:tc>
      </w:tr>
      <w:tr w:rsidR="1BDD9486" w14:paraId="37FFAEBB"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305CC73E" w14:textId="443F1F15" w:rsidR="1BDD9486" w:rsidRDefault="1BDD9486" w:rsidP="13C70224">
            <w:pPr>
              <w:spacing w:after="0" w:line="276" w:lineRule="auto"/>
              <w:rPr>
                <w:rFonts w:eastAsia="Arial" w:cs="Arial"/>
              </w:rPr>
            </w:pPr>
            <w:proofErr w:type="spellStart"/>
            <w:r w:rsidRPr="13C70224">
              <w:rPr>
                <w:rFonts w:eastAsia="Arial" w:cs="Arial"/>
              </w:rPr>
              <w:t>Marneffe</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17FE7131" w14:textId="79EDD21F" w:rsidR="1BDD9486" w:rsidRDefault="1BDD9486" w:rsidP="13C70224">
            <w:pPr>
              <w:spacing w:after="0" w:line="276" w:lineRule="auto"/>
              <w:jc w:val="center"/>
              <w:rPr>
                <w:rFonts w:eastAsia="Arial" w:cs="Arial"/>
              </w:rPr>
            </w:pPr>
            <w:r w:rsidRPr="13C70224">
              <w:rPr>
                <w:rFonts w:eastAsia="Arial" w:cs="Arial"/>
              </w:rPr>
              <w:t>1,8</w:t>
            </w:r>
          </w:p>
        </w:tc>
        <w:tc>
          <w:tcPr>
            <w:tcW w:w="1710" w:type="dxa"/>
            <w:tcBorders>
              <w:top w:val="single" w:sz="6" w:space="0" w:color="auto"/>
              <w:left w:val="single" w:sz="6" w:space="0" w:color="auto"/>
              <w:bottom w:val="single" w:sz="6" w:space="0" w:color="auto"/>
              <w:right w:val="single" w:sz="6" w:space="0" w:color="auto"/>
            </w:tcBorders>
            <w:vAlign w:val="center"/>
          </w:tcPr>
          <w:p w14:paraId="105F4F5F" w14:textId="330ACE27"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129F2B06" w14:textId="0D121FB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180 €</w:t>
            </w:r>
          </w:p>
        </w:tc>
        <w:tc>
          <w:tcPr>
            <w:tcW w:w="1020" w:type="dxa"/>
            <w:tcBorders>
              <w:top w:val="single" w:sz="6" w:space="0" w:color="auto"/>
              <w:left w:val="single" w:sz="6" w:space="0" w:color="auto"/>
              <w:bottom w:val="single" w:sz="6" w:space="0" w:color="auto"/>
              <w:right w:val="single" w:sz="6" w:space="0" w:color="auto"/>
            </w:tcBorders>
            <w:vAlign w:val="center"/>
          </w:tcPr>
          <w:p w14:paraId="30B4455B" w14:textId="02C7BD2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730 €</w:t>
            </w:r>
          </w:p>
        </w:tc>
      </w:tr>
      <w:tr w:rsidR="1BDD9486" w14:paraId="7149C57A"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2C30DBB5" w14:textId="3C8B7C69" w:rsidR="1BDD9486" w:rsidRDefault="1BDD9486" w:rsidP="13C70224">
            <w:pPr>
              <w:spacing w:after="0" w:line="276" w:lineRule="auto"/>
              <w:rPr>
                <w:rFonts w:eastAsia="Arial" w:cs="Arial"/>
              </w:rPr>
            </w:pPr>
            <w:proofErr w:type="spellStart"/>
            <w:r w:rsidRPr="13C70224">
              <w:rPr>
                <w:rFonts w:eastAsia="Arial" w:cs="Arial"/>
              </w:rPr>
              <w:t>Nosipont</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051F690B" w14:textId="4E17E3B4" w:rsidR="1BDD9486" w:rsidRDefault="1BDD9486" w:rsidP="13C70224">
            <w:pPr>
              <w:spacing w:after="0" w:line="276" w:lineRule="auto"/>
              <w:jc w:val="center"/>
              <w:rPr>
                <w:rFonts w:eastAsia="Arial" w:cs="Arial"/>
              </w:rPr>
            </w:pPr>
            <w:r w:rsidRPr="13C70224">
              <w:rPr>
                <w:rFonts w:eastAsia="Arial" w:cs="Arial"/>
              </w:rPr>
              <w:t>8,0</w:t>
            </w:r>
          </w:p>
        </w:tc>
        <w:tc>
          <w:tcPr>
            <w:tcW w:w="1710" w:type="dxa"/>
            <w:tcBorders>
              <w:top w:val="single" w:sz="6" w:space="0" w:color="auto"/>
              <w:left w:val="single" w:sz="6" w:space="0" w:color="auto"/>
              <w:bottom w:val="single" w:sz="6" w:space="0" w:color="auto"/>
              <w:right w:val="single" w:sz="6" w:space="0" w:color="auto"/>
            </w:tcBorders>
            <w:vAlign w:val="center"/>
          </w:tcPr>
          <w:p w14:paraId="4B6B9127" w14:textId="33BB671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0269E533" w14:textId="17EDE72E"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800 €</w:t>
            </w:r>
          </w:p>
        </w:tc>
        <w:tc>
          <w:tcPr>
            <w:tcW w:w="1020" w:type="dxa"/>
            <w:tcBorders>
              <w:top w:val="single" w:sz="6" w:space="0" w:color="auto"/>
              <w:left w:val="single" w:sz="6" w:space="0" w:color="auto"/>
              <w:bottom w:val="single" w:sz="6" w:space="0" w:color="auto"/>
              <w:right w:val="single" w:sz="6" w:space="0" w:color="auto"/>
            </w:tcBorders>
            <w:vAlign w:val="center"/>
          </w:tcPr>
          <w:p w14:paraId="2626FCC2" w14:textId="7633F2C5"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1.350 €</w:t>
            </w:r>
          </w:p>
        </w:tc>
      </w:tr>
      <w:tr w:rsidR="1BDD9486" w14:paraId="03AECFC7"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71EDD13D" w14:textId="141D6683" w:rsidR="1BDD9486" w:rsidRDefault="1BDD9486" w:rsidP="13C70224">
            <w:pPr>
              <w:spacing w:after="0" w:line="276" w:lineRule="auto"/>
              <w:rPr>
                <w:rFonts w:eastAsia="Arial" w:cs="Arial"/>
              </w:rPr>
            </w:pPr>
            <w:r w:rsidRPr="13C70224">
              <w:rPr>
                <w:rFonts w:eastAsia="Arial" w:cs="Arial"/>
              </w:rPr>
              <w:t>Paradis</w:t>
            </w:r>
          </w:p>
        </w:tc>
        <w:tc>
          <w:tcPr>
            <w:tcW w:w="840" w:type="dxa"/>
            <w:tcBorders>
              <w:top w:val="single" w:sz="6" w:space="0" w:color="auto"/>
              <w:left w:val="single" w:sz="6" w:space="0" w:color="auto"/>
              <w:bottom w:val="single" w:sz="6" w:space="0" w:color="auto"/>
              <w:right w:val="single" w:sz="6" w:space="0" w:color="auto"/>
            </w:tcBorders>
            <w:vAlign w:val="center"/>
          </w:tcPr>
          <w:p w14:paraId="04B543A8" w14:textId="75ADC0B5" w:rsidR="1BDD9486" w:rsidRDefault="1BDD9486" w:rsidP="13C70224">
            <w:pPr>
              <w:spacing w:after="0" w:line="276" w:lineRule="auto"/>
              <w:jc w:val="center"/>
              <w:rPr>
                <w:rFonts w:eastAsia="Arial" w:cs="Arial"/>
              </w:rPr>
            </w:pPr>
            <w:r w:rsidRPr="13C70224">
              <w:rPr>
                <w:rFonts w:eastAsia="Arial" w:cs="Arial"/>
              </w:rPr>
              <w:t>6,7</w:t>
            </w:r>
          </w:p>
        </w:tc>
        <w:tc>
          <w:tcPr>
            <w:tcW w:w="1710" w:type="dxa"/>
            <w:tcBorders>
              <w:top w:val="single" w:sz="6" w:space="0" w:color="auto"/>
              <w:left w:val="single" w:sz="6" w:space="0" w:color="auto"/>
              <w:bottom w:val="single" w:sz="6" w:space="0" w:color="auto"/>
              <w:right w:val="single" w:sz="6" w:space="0" w:color="auto"/>
            </w:tcBorders>
            <w:vAlign w:val="center"/>
          </w:tcPr>
          <w:p w14:paraId="02D05B04" w14:textId="0C4225B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77F13EB0" w14:textId="6578620B"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670 €</w:t>
            </w:r>
          </w:p>
        </w:tc>
        <w:tc>
          <w:tcPr>
            <w:tcW w:w="1020" w:type="dxa"/>
            <w:tcBorders>
              <w:top w:val="single" w:sz="6" w:space="0" w:color="auto"/>
              <w:left w:val="single" w:sz="6" w:space="0" w:color="auto"/>
              <w:bottom w:val="single" w:sz="6" w:space="0" w:color="auto"/>
              <w:right w:val="single" w:sz="6" w:space="0" w:color="auto"/>
            </w:tcBorders>
            <w:vAlign w:val="center"/>
          </w:tcPr>
          <w:p w14:paraId="3D07DFFC" w14:textId="6E1B7B19"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1.220 €</w:t>
            </w:r>
          </w:p>
        </w:tc>
      </w:tr>
      <w:tr w:rsidR="1BDD9486" w14:paraId="2E8808FC"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695BB5AC" w14:textId="0AB01864" w:rsidR="1BDD9486" w:rsidRDefault="1BDD9486" w:rsidP="13C70224">
            <w:pPr>
              <w:spacing w:after="0" w:line="276" w:lineRule="auto"/>
              <w:rPr>
                <w:rFonts w:eastAsia="Arial" w:cs="Arial"/>
              </w:rPr>
            </w:pPr>
            <w:proofErr w:type="spellStart"/>
            <w:r w:rsidRPr="13C70224">
              <w:rPr>
                <w:rFonts w:eastAsia="Arial" w:cs="Arial"/>
              </w:rPr>
              <w:t>PivotBois</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59EDB390" w14:textId="004E9A8B" w:rsidR="1BDD9486" w:rsidRDefault="1BDD9486" w:rsidP="13C70224">
            <w:pPr>
              <w:spacing w:after="0" w:line="276" w:lineRule="auto"/>
              <w:jc w:val="center"/>
              <w:rPr>
                <w:rFonts w:eastAsia="Arial" w:cs="Arial"/>
              </w:rPr>
            </w:pPr>
            <w:r w:rsidRPr="13C70224">
              <w:rPr>
                <w:rFonts w:eastAsia="Arial" w:cs="Arial"/>
              </w:rPr>
              <w:t>16,0</w:t>
            </w:r>
          </w:p>
        </w:tc>
        <w:tc>
          <w:tcPr>
            <w:tcW w:w="1710" w:type="dxa"/>
            <w:tcBorders>
              <w:top w:val="single" w:sz="6" w:space="0" w:color="auto"/>
              <w:left w:val="single" w:sz="6" w:space="0" w:color="auto"/>
              <w:bottom w:val="single" w:sz="6" w:space="0" w:color="auto"/>
              <w:right w:val="single" w:sz="6" w:space="0" w:color="auto"/>
            </w:tcBorders>
            <w:vAlign w:val="center"/>
          </w:tcPr>
          <w:p w14:paraId="687AD9C1" w14:textId="4C8D0BBD"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05A10942" w14:textId="33ABCF8E"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1.600 €</w:t>
            </w:r>
          </w:p>
        </w:tc>
        <w:tc>
          <w:tcPr>
            <w:tcW w:w="1020" w:type="dxa"/>
            <w:tcBorders>
              <w:top w:val="single" w:sz="6" w:space="0" w:color="auto"/>
              <w:left w:val="single" w:sz="6" w:space="0" w:color="auto"/>
              <w:bottom w:val="single" w:sz="6" w:space="0" w:color="auto"/>
              <w:right w:val="single" w:sz="6" w:space="0" w:color="auto"/>
            </w:tcBorders>
            <w:vAlign w:val="center"/>
          </w:tcPr>
          <w:p w14:paraId="7D4322C9" w14:textId="3F049194"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2.150 €</w:t>
            </w:r>
          </w:p>
        </w:tc>
      </w:tr>
      <w:tr w:rsidR="1BDD9486" w14:paraId="765AD1CA"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209D2B99" w14:textId="07288862" w:rsidR="1BDD9486" w:rsidRDefault="1BDD9486" w:rsidP="13C70224">
            <w:pPr>
              <w:spacing w:after="0" w:line="276" w:lineRule="auto"/>
              <w:rPr>
                <w:rFonts w:eastAsia="Arial" w:cs="Arial"/>
              </w:rPr>
            </w:pPr>
            <w:proofErr w:type="spellStart"/>
            <w:r w:rsidRPr="13C70224">
              <w:rPr>
                <w:rFonts w:eastAsia="Arial" w:cs="Arial"/>
              </w:rPr>
              <w:t>PivotPont</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26A2DDFF" w14:textId="6D43CD6D" w:rsidR="1BDD9486" w:rsidRDefault="1BDD9486" w:rsidP="13C70224">
            <w:pPr>
              <w:spacing w:after="0" w:line="276" w:lineRule="auto"/>
              <w:jc w:val="center"/>
              <w:rPr>
                <w:rFonts w:eastAsia="Arial" w:cs="Arial"/>
              </w:rPr>
            </w:pPr>
            <w:r w:rsidRPr="13C70224">
              <w:rPr>
                <w:rFonts w:eastAsia="Arial" w:cs="Arial"/>
              </w:rPr>
              <w:t>16,0</w:t>
            </w:r>
          </w:p>
        </w:tc>
        <w:tc>
          <w:tcPr>
            <w:tcW w:w="1710" w:type="dxa"/>
            <w:tcBorders>
              <w:top w:val="single" w:sz="6" w:space="0" w:color="auto"/>
              <w:left w:val="single" w:sz="6" w:space="0" w:color="auto"/>
              <w:bottom w:val="single" w:sz="6" w:space="0" w:color="auto"/>
              <w:right w:val="single" w:sz="6" w:space="0" w:color="auto"/>
            </w:tcBorders>
            <w:vAlign w:val="center"/>
          </w:tcPr>
          <w:p w14:paraId="6F10D523" w14:textId="210909E4"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1A8F45B8" w14:textId="128C83F8"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1.600 €</w:t>
            </w:r>
          </w:p>
        </w:tc>
        <w:tc>
          <w:tcPr>
            <w:tcW w:w="1020" w:type="dxa"/>
            <w:tcBorders>
              <w:top w:val="single" w:sz="6" w:space="0" w:color="auto"/>
              <w:left w:val="single" w:sz="6" w:space="0" w:color="auto"/>
              <w:bottom w:val="single" w:sz="6" w:space="0" w:color="auto"/>
              <w:right w:val="single" w:sz="6" w:space="0" w:color="auto"/>
            </w:tcBorders>
            <w:vAlign w:val="center"/>
          </w:tcPr>
          <w:p w14:paraId="3F6BB844" w14:textId="7CCC5678"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2.150 €</w:t>
            </w:r>
          </w:p>
        </w:tc>
      </w:tr>
      <w:tr w:rsidR="1BDD9486" w14:paraId="02622C00"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4B4ADCBA" w14:textId="78D7AC23" w:rsidR="1BDD9486" w:rsidRDefault="1BDD9486" w:rsidP="13C70224">
            <w:pPr>
              <w:spacing w:after="0" w:line="276" w:lineRule="auto"/>
              <w:rPr>
                <w:rFonts w:eastAsia="Arial" w:cs="Arial"/>
              </w:rPr>
            </w:pPr>
            <w:proofErr w:type="spellStart"/>
            <w:r w:rsidRPr="13C70224">
              <w:rPr>
                <w:rFonts w:eastAsia="Arial" w:cs="Arial"/>
              </w:rPr>
              <w:t>PtiSeumoy</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2932CA33" w14:textId="74D97FEA" w:rsidR="1BDD9486" w:rsidRDefault="1BDD9486" w:rsidP="13C70224">
            <w:pPr>
              <w:spacing w:after="0" w:line="276" w:lineRule="auto"/>
              <w:jc w:val="center"/>
              <w:rPr>
                <w:rFonts w:eastAsia="Arial" w:cs="Arial"/>
              </w:rPr>
            </w:pPr>
            <w:r w:rsidRPr="13C70224">
              <w:rPr>
                <w:rFonts w:eastAsia="Arial" w:cs="Arial"/>
              </w:rPr>
              <w:t>11,6</w:t>
            </w:r>
          </w:p>
        </w:tc>
        <w:tc>
          <w:tcPr>
            <w:tcW w:w="1710" w:type="dxa"/>
            <w:tcBorders>
              <w:top w:val="single" w:sz="6" w:space="0" w:color="auto"/>
              <w:left w:val="single" w:sz="6" w:space="0" w:color="auto"/>
              <w:bottom w:val="single" w:sz="6" w:space="0" w:color="auto"/>
              <w:right w:val="single" w:sz="6" w:space="0" w:color="auto"/>
            </w:tcBorders>
            <w:vAlign w:val="center"/>
          </w:tcPr>
          <w:p w14:paraId="32F29CD1" w14:textId="50941773"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49F713B7" w14:textId="0CD3E1CC"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1.160 €</w:t>
            </w:r>
          </w:p>
        </w:tc>
        <w:tc>
          <w:tcPr>
            <w:tcW w:w="1020" w:type="dxa"/>
            <w:tcBorders>
              <w:top w:val="single" w:sz="6" w:space="0" w:color="auto"/>
              <w:left w:val="single" w:sz="6" w:space="0" w:color="auto"/>
              <w:bottom w:val="single" w:sz="6" w:space="0" w:color="auto"/>
              <w:right w:val="single" w:sz="6" w:space="0" w:color="auto"/>
            </w:tcBorders>
            <w:vAlign w:val="center"/>
          </w:tcPr>
          <w:p w14:paraId="0DA72A3B" w14:textId="61E80264"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1.710 €</w:t>
            </w:r>
          </w:p>
        </w:tc>
      </w:tr>
      <w:tr w:rsidR="1BDD9486" w14:paraId="175D6BBA"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0DE2609E" w14:textId="3FE05579" w:rsidR="1BDD9486" w:rsidRDefault="1BDD9486" w:rsidP="13C70224">
            <w:pPr>
              <w:spacing w:after="0" w:line="276" w:lineRule="auto"/>
              <w:rPr>
                <w:rFonts w:eastAsia="Arial" w:cs="Arial"/>
              </w:rPr>
            </w:pPr>
            <w:proofErr w:type="spellStart"/>
            <w:r w:rsidRPr="13C70224">
              <w:rPr>
                <w:rFonts w:eastAsia="Arial" w:cs="Arial"/>
              </w:rPr>
              <w:t>PtiVillers</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18A9406A" w14:textId="7611F358" w:rsidR="1BDD9486" w:rsidRDefault="1BDD9486" w:rsidP="13C70224">
            <w:pPr>
              <w:spacing w:after="0" w:line="276" w:lineRule="auto"/>
              <w:jc w:val="center"/>
              <w:rPr>
                <w:rFonts w:eastAsia="Arial" w:cs="Arial"/>
              </w:rPr>
            </w:pPr>
            <w:r w:rsidRPr="13C70224">
              <w:rPr>
                <w:rFonts w:eastAsia="Arial" w:cs="Arial"/>
              </w:rPr>
              <w:t>4,5</w:t>
            </w:r>
          </w:p>
        </w:tc>
        <w:tc>
          <w:tcPr>
            <w:tcW w:w="1710" w:type="dxa"/>
            <w:tcBorders>
              <w:top w:val="single" w:sz="6" w:space="0" w:color="auto"/>
              <w:left w:val="single" w:sz="6" w:space="0" w:color="auto"/>
              <w:bottom w:val="single" w:sz="6" w:space="0" w:color="auto"/>
              <w:right w:val="single" w:sz="6" w:space="0" w:color="auto"/>
            </w:tcBorders>
            <w:vAlign w:val="center"/>
          </w:tcPr>
          <w:p w14:paraId="4EA9F0C4" w14:textId="7740D00A"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5CFD92C0" w14:textId="5FC6B21A"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450 €</w:t>
            </w:r>
          </w:p>
        </w:tc>
        <w:tc>
          <w:tcPr>
            <w:tcW w:w="1020" w:type="dxa"/>
            <w:tcBorders>
              <w:top w:val="single" w:sz="6" w:space="0" w:color="auto"/>
              <w:left w:val="single" w:sz="6" w:space="0" w:color="auto"/>
              <w:bottom w:val="single" w:sz="6" w:space="0" w:color="auto"/>
              <w:right w:val="single" w:sz="6" w:space="0" w:color="auto"/>
            </w:tcBorders>
            <w:vAlign w:val="center"/>
          </w:tcPr>
          <w:p w14:paraId="2134F051" w14:textId="59B5F7DD"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1.000 €</w:t>
            </w:r>
          </w:p>
        </w:tc>
      </w:tr>
      <w:tr w:rsidR="1BDD9486" w14:paraId="34B3A2AF"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5A7AFA46" w14:textId="0FE34E7D" w:rsidR="1BDD9486" w:rsidRDefault="1BDD9486" w:rsidP="13C70224">
            <w:pPr>
              <w:spacing w:after="0" w:line="276" w:lineRule="auto"/>
              <w:rPr>
                <w:rFonts w:eastAsia="Arial" w:cs="Arial"/>
                <w:color w:val="000000" w:themeColor="text1"/>
              </w:rPr>
            </w:pPr>
            <w:proofErr w:type="spellStart"/>
            <w:r w:rsidRPr="13C70224">
              <w:rPr>
                <w:rFonts w:eastAsia="Arial" w:cs="Arial"/>
                <w:color w:val="000000" w:themeColor="text1"/>
              </w:rPr>
              <w:t>ThAuto</w:t>
            </w:r>
            <w:proofErr w:type="spellEnd"/>
          </w:p>
        </w:tc>
        <w:tc>
          <w:tcPr>
            <w:tcW w:w="840" w:type="dxa"/>
            <w:tcBorders>
              <w:top w:val="single" w:sz="6" w:space="0" w:color="auto"/>
              <w:left w:val="single" w:sz="6" w:space="0" w:color="auto"/>
              <w:bottom w:val="single" w:sz="6" w:space="0" w:color="auto"/>
              <w:right w:val="single" w:sz="6" w:space="0" w:color="auto"/>
            </w:tcBorders>
            <w:vAlign w:val="center"/>
          </w:tcPr>
          <w:p w14:paraId="37CED1E8" w14:textId="2045F328"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20,0</w:t>
            </w:r>
          </w:p>
        </w:tc>
        <w:tc>
          <w:tcPr>
            <w:tcW w:w="1710" w:type="dxa"/>
            <w:tcBorders>
              <w:top w:val="single" w:sz="6" w:space="0" w:color="auto"/>
              <w:left w:val="single" w:sz="6" w:space="0" w:color="auto"/>
              <w:bottom w:val="single" w:sz="6" w:space="0" w:color="auto"/>
              <w:right w:val="single" w:sz="6" w:space="0" w:color="auto"/>
            </w:tcBorders>
            <w:vAlign w:val="center"/>
          </w:tcPr>
          <w:p w14:paraId="6B359797" w14:textId="61DD9634"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550 €</w:t>
            </w:r>
          </w:p>
        </w:tc>
        <w:tc>
          <w:tcPr>
            <w:tcW w:w="1185" w:type="dxa"/>
            <w:tcBorders>
              <w:top w:val="single" w:sz="6" w:space="0" w:color="auto"/>
              <w:left w:val="single" w:sz="6" w:space="0" w:color="auto"/>
              <w:bottom w:val="single" w:sz="6" w:space="0" w:color="auto"/>
              <w:right w:val="single" w:sz="6" w:space="0" w:color="auto"/>
            </w:tcBorders>
            <w:vAlign w:val="center"/>
          </w:tcPr>
          <w:p w14:paraId="7FBDD2D9" w14:textId="0523AC67"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2.000 €</w:t>
            </w:r>
          </w:p>
        </w:tc>
        <w:tc>
          <w:tcPr>
            <w:tcW w:w="1020" w:type="dxa"/>
            <w:tcBorders>
              <w:top w:val="single" w:sz="6" w:space="0" w:color="auto"/>
              <w:left w:val="single" w:sz="6" w:space="0" w:color="auto"/>
              <w:bottom w:val="single" w:sz="6" w:space="0" w:color="auto"/>
              <w:right w:val="single" w:sz="6" w:space="0" w:color="auto"/>
            </w:tcBorders>
            <w:vAlign w:val="center"/>
          </w:tcPr>
          <w:p w14:paraId="33BB73CC" w14:textId="140B9904"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2.550 €</w:t>
            </w:r>
          </w:p>
        </w:tc>
      </w:tr>
      <w:tr w:rsidR="1BDD9486" w14:paraId="599DFE9C"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07C9343A" w14:textId="69A0AE61" w:rsidR="1BDD9486" w:rsidRDefault="1BDD9486" w:rsidP="13C70224">
            <w:pPr>
              <w:spacing w:after="0" w:line="276" w:lineRule="auto"/>
              <w:rPr>
                <w:rFonts w:eastAsia="Arial" w:cs="Arial"/>
              </w:rPr>
            </w:pPr>
            <w:r w:rsidRPr="13C70224">
              <w:rPr>
                <w:rFonts w:eastAsia="Arial" w:cs="Arial"/>
                <w:b/>
                <w:bCs/>
              </w:rPr>
              <w:t>Moyenne</w:t>
            </w:r>
          </w:p>
        </w:tc>
        <w:tc>
          <w:tcPr>
            <w:tcW w:w="840" w:type="dxa"/>
            <w:tcBorders>
              <w:top w:val="single" w:sz="6" w:space="0" w:color="auto"/>
              <w:left w:val="single" w:sz="6" w:space="0" w:color="auto"/>
              <w:bottom w:val="single" w:sz="6" w:space="0" w:color="auto"/>
              <w:right w:val="single" w:sz="6" w:space="0" w:color="auto"/>
            </w:tcBorders>
            <w:vAlign w:val="center"/>
          </w:tcPr>
          <w:p w14:paraId="39CA8B4F" w14:textId="3EBF6613" w:rsidR="1BDD9486" w:rsidRDefault="1BDD9486" w:rsidP="13C70224">
            <w:pPr>
              <w:spacing w:after="0" w:line="276" w:lineRule="auto"/>
              <w:jc w:val="center"/>
              <w:rPr>
                <w:rFonts w:eastAsia="Arial" w:cs="Arial"/>
              </w:rPr>
            </w:pPr>
            <w:r w:rsidRPr="13C70224">
              <w:rPr>
                <w:rFonts w:eastAsia="Arial" w:cs="Arial"/>
                <w:b/>
                <w:bCs/>
              </w:rPr>
              <w:t xml:space="preserve">9,7 </w:t>
            </w:r>
          </w:p>
        </w:tc>
        <w:tc>
          <w:tcPr>
            <w:tcW w:w="1710" w:type="dxa"/>
            <w:tcBorders>
              <w:top w:val="single" w:sz="6" w:space="0" w:color="auto"/>
              <w:left w:val="single" w:sz="6" w:space="0" w:color="auto"/>
              <w:bottom w:val="single" w:sz="6" w:space="0" w:color="auto"/>
              <w:right w:val="single" w:sz="6" w:space="0" w:color="auto"/>
            </w:tcBorders>
            <w:vAlign w:val="center"/>
          </w:tcPr>
          <w:p w14:paraId="2B80C6EB" w14:textId="07243C07" w:rsidR="1BDD9486" w:rsidRDefault="1BDD9486" w:rsidP="13C70224">
            <w:pPr>
              <w:spacing w:after="0" w:line="276" w:lineRule="auto"/>
              <w:jc w:val="center"/>
              <w:rPr>
                <w:rFonts w:eastAsia="Arial" w:cs="Arial"/>
                <w:color w:val="000000" w:themeColor="text1"/>
              </w:rPr>
            </w:pPr>
            <w:r w:rsidRPr="13C70224">
              <w:rPr>
                <w:rFonts w:eastAsia="Arial" w:cs="Arial"/>
                <w:color w:val="000000" w:themeColor="text1"/>
              </w:rPr>
              <w:t xml:space="preserve"> </w:t>
            </w:r>
          </w:p>
        </w:tc>
        <w:tc>
          <w:tcPr>
            <w:tcW w:w="1185" w:type="dxa"/>
            <w:tcBorders>
              <w:top w:val="single" w:sz="6" w:space="0" w:color="auto"/>
              <w:left w:val="single" w:sz="6" w:space="0" w:color="auto"/>
              <w:bottom w:val="single" w:sz="6" w:space="0" w:color="auto"/>
              <w:right w:val="single" w:sz="6" w:space="0" w:color="auto"/>
            </w:tcBorders>
            <w:vAlign w:val="center"/>
          </w:tcPr>
          <w:p w14:paraId="7CC3BE2D" w14:textId="1B40E7E7" w:rsidR="1BDD9486" w:rsidRDefault="1BDD9486" w:rsidP="13C70224">
            <w:pPr>
              <w:spacing w:after="0" w:line="276" w:lineRule="auto"/>
              <w:rPr>
                <w:rFonts w:eastAsia="Arial" w:cs="Arial"/>
                <w:color w:val="000000" w:themeColor="text1"/>
              </w:rPr>
            </w:pPr>
            <w:r w:rsidRPr="13C70224">
              <w:rPr>
                <w:rFonts w:eastAsia="Arial" w:cs="Arial"/>
                <w:color w:val="000000" w:themeColor="text1"/>
              </w:rPr>
              <w:t xml:space="preserve"> </w:t>
            </w:r>
          </w:p>
        </w:tc>
        <w:tc>
          <w:tcPr>
            <w:tcW w:w="1020" w:type="dxa"/>
            <w:tcBorders>
              <w:top w:val="single" w:sz="6" w:space="0" w:color="auto"/>
              <w:left w:val="single" w:sz="6" w:space="0" w:color="auto"/>
              <w:bottom w:val="single" w:sz="6" w:space="0" w:color="auto"/>
              <w:right w:val="single" w:sz="6" w:space="0" w:color="auto"/>
            </w:tcBorders>
            <w:vAlign w:val="center"/>
          </w:tcPr>
          <w:p w14:paraId="7E65E91C" w14:textId="5BF2BE44"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1.518 €</w:t>
            </w:r>
          </w:p>
        </w:tc>
      </w:tr>
      <w:tr w:rsidR="1BDD9486" w14:paraId="3FB2C6DA" w14:textId="77777777" w:rsidTr="7B5DCF56">
        <w:trPr>
          <w:trHeight w:val="300"/>
          <w:jc w:val="center"/>
        </w:trPr>
        <w:tc>
          <w:tcPr>
            <w:tcW w:w="1680" w:type="dxa"/>
            <w:tcBorders>
              <w:top w:val="single" w:sz="6" w:space="0" w:color="auto"/>
              <w:left w:val="single" w:sz="6" w:space="0" w:color="auto"/>
              <w:bottom w:val="single" w:sz="6" w:space="0" w:color="auto"/>
              <w:right w:val="single" w:sz="6" w:space="0" w:color="auto"/>
            </w:tcBorders>
            <w:vAlign w:val="center"/>
          </w:tcPr>
          <w:p w14:paraId="7A1DDFB3" w14:textId="17B91819" w:rsidR="1BDD9486" w:rsidRDefault="1BDD9486" w:rsidP="7B5DCF56">
            <w:pPr>
              <w:spacing w:after="0" w:line="276" w:lineRule="auto"/>
              <w:jc w:val="center"/>
              <w:rPr>
                <w:rFonts w:eastAsia="Arial" w:cs="Arial"/>
              </w:rPr>
            </w:pPr>
            <w:r w:rsidRPr="7B5DCF56">
              <w:rPr>
                <w:rFonts w:eastAsia="Arial" w:cs="Arial"/>
                <w:b/>
                <w:bCs/>
              </w:rPr>
              <w:t>TOTAL :</w:t>
            </w:r>
          </w:p>
        </w:tc>
        <w:tc>
          <w:tcPr>
            <w:tcW w:w="840" w:type="dxa"/>
            <w:tcBorders>
              <w:top w:val="single" w:sz="6" w:space="0" w:color="auto"/>
              <w:left w:val="single" w:sz="6" w:space="0" w:color="auto"/>
              <w:bottom w:val="single" w:sz="6" w:space="0" w:color="auto"/>
              <w:right w:val="single" w:sz="6" w:space="0" w:color="auto"/>
            </w:tcBorders>
            <w:vAlign w:val="center"/>
          </w:tcPr>
          <w:p w14:paraId="2EBC3F50" w14:textId="2DC88287" w:rsidR="1BDD9486" w:rsidRDefault="1BDD9486" w:rsidP="13C70224">
            <w:pPr>
              <w:spacing w:after="0" w:line="276" w:lineRule="auto"/>
              <w:jc w:val="center"/>
              <w:rPr>
                <w:rFonts w:eastAsia="Arial" w:cs="Arial"/>
              </w:rPr>
            </w:pPr>
            <w:r w:rsidRPr="13C70224">
              <w:rPr>
                <w:rFonts w:eastAsia="Arial" w:cs="Arial"/>
                <w:b/>
                <w:bCs/>
              </w:rPr>
              <w:t>145,2</w:t>
            </w:r>
          </w:p>
        </w:tc>
        <w:tc>
          <w:tcPr>
            <w:tcW w:w="1710" w:type="dxa"/>
            <w:tcBorders>
              <w:top w:val="single" w:sz="6" w:space="0" w:color="auto"/>
              <w:left w:val="single" w:sz="6" w:space="0" w:color="auto"/>
              <w:bottom w:val="single" w:sz="6" w:space="0" w:color="auto"/>
              <w:right w:val="single" w:sz="6" w:space="0" w:color="auto"/>
            </w:tcBorders>
            <w:vAlign w:val="center"/>
          </w:tcPr>
          <w:p w14:paraId="63402C8F" w14:textId="765B0A24" w:rsidR="1BDD9486" w:rsidRDefault="1BDD9486" w:rsidP="13C70224">
            <w:pPr>
              <w:spacing w:after="0" w:line="276" w:lineRule="auto"/>
              <w:jc w:val="center"/>
              <w:rPr>
                <w:rFonts w:eastAsia="Arial" w:cs="Arial"/>
                <w:color w:val="000000" w:themeColor="text1"/>
              </w:rPr>
            </w:pPr>
          </w:p>
        </w:tc>
        <w:tc>
          <w:tcPr>
            <w:tcW w:w="1185" w:type="dxa"/>
            <w:tcBorders>
              <w:top w:val="single" w:sz="6" w:space="0" w:color="auto"/>
              <w:left w:val="single" w:sz="6" w:space="0" w:color="auto"/>
              <w:bottom w:val="single" w:sz="6" w:space="0" w:color="auto"/>
              <w:right w:val="single" w:sz="6" w:space="0" w:color="auto"/>
            </w:tcBorders>
            <w:vAlign w:val="center"/>
          </w:tcPr>
          <w:p w14:paraId="1039ED30" w14:textId="16467EC2" w:rsidR="1BDD9486" w:rsidRDefault="1BDD9486" w:rsidP="7B5DCF56">
            <w:pPr>
              <w:spacing w:after="0" w:line="276" w:lineRule="auto"/>
              <w:jc w:val="center"/>
              <w:rPr>
                <w:rFonts w:eastAsia="Arial" w:cs="Arial"/>
                <w:color w:val="000000" w:themeColor="text1"/>
              </w:rPr>
            </w:pPr>
          </w:p>
        </w:tc>
        <w:tc>
          <w:tcPr>
            <w:tcW w:w="1020" w:type="dxa"/>
            <w:tcBorders>
              <w:top w:val="single" w:sz="6" w:space="0" w:color="auto"/>
              <w:left w:val="single" w:sz="6" w:space="0" w:color="auto"/>
              <w:bottom w:val="single" w:sz="6" w:space="0" w:color="auto"/>
              <w:right w:val="single" w:sz="6" w:space="0" w:color="auto"/>
            </w:tcBorders>
            <w:vAlign w:val="center"/>
          </w:tcPr>
          <w:p w14:paraId="3770FE5E" w14:textId="67E21207" w:rsidR="1BDD9486" w:rsidRDefault="1BDD9486" w:rsidP="13C70224">
            <w:pPr>
              <w:spacing w:after="0" w:line="276" w:lineRule="auto"/>
              <w:jc w:val="center"/>
              <w:rPr>
                <w:rFonts w:eastAsia="Arial" w:cs="Arial"/>
                <w:color w:val="000000" w:themeColor="text1"/>
              </w:rPr>
            </w:pPr>
            <w:r w:rsidRPr="13C70224">
              <w:rPr>
                <w:rFonts w:eastAsia="Arial" w:cs="Arial"/>
                <w:b/>
                <w:bCs/>
                <w:color w:val="000000" w:themeColor="text1"/>
              </w:rPr>
              <w:t>22.770€</w:t>
            </w:r>
          </w:p>
        </w:tc>
      </w:tr>
    </w:tbl>
    <w:p w14:paraId="6143722C" w14:textId="321AD644" w:rsidR="1BDD9486" w:rsidRDefault="1BDD9486" w:rsidP="13C70224">
      <w:pPr>
        <w:spacing w:before="240" w:after="240" w:line="276" w:lineRule="auto"/>
        <w:jc w:val="both"/>
        <w:rPr>
          <w:rFonts w:eastAsia="Arial" w:cs="Arial"/>
        </w:rPr>
      </w:pPr>
    </w:p>
    <w:p w14:paraId="05247360" w14:textId="417F55F2" w:rsidR="6E869D71" w:rsidRDefault="6E869D71" w:rsidP="0FF8C3A4">
      <w:pPr>
        <w:spacing w:before="240" w:after="240" w:line="276" w:lineRule="auto"/>
        <w:jc w:val="both"/>
        <w:rPr>
          <w:rFonts w:eastAsia="Arial" w:cs="Arial"/>
        </w:rPr>
      </w:pPr>
      <w:r w:rsidRPr="0FF8C3A4">
        <w:rPr>
          <w:rFonts w:eastAsia="Arial" w:cs="Arial"/>
        </w:rPr>
        <w:t>Pour les 15 parcelles de l’exploitation, cela représente un coût total de 22 770 € HT. Si ce coût est réparti sur la durée d’une rotation de 4 ans, il correspond à un coût annuel de 5 692,5 € HT/an pour l’exploitation.</w:t>
      </w:r>
    </w:p>
    <w:p w14:paraId="4ECE4246" w14:textId="43AC187D" w:rsidR="13C70224" w:rsidRDefault="13C70224" w:rsidP="13C70224">
      <w:pPr>
        <w:spacing w:before="240" w:after="240" w:line="276" w:lineRule="auto"/>
        <w:jc w:val="both"/>
        <w:rPr>
          <w:rFonts w:eastAsia="Arial" w:cs="Arial"/>
        </w:rPr>
      </w:pPr>
    </w:p>
    <w:p w14:paraId="1BA2E5F2" w14:textId="7E48D4A4" w:rsidR="1BDD9486" w:rsidRDefault="36870227" w:rsidP="13C70224">
      <w:pPr>
        <w:pStyle w:val="Titre3"/>
        <w:spacing w:before="240" w:after="240" w:line="276" w:lineRule="auto"/>
        <w:rPr>
          <w:rFonts w:eastAsia="Arial" w:cs="Arial"/>
        </w:rPr>
      </w:pPr>
      <w:r w:rsidRPr="13C70224">
        <w:rPr>
          <w:rFonts w:eastAsia="Arial" w:cs="Arial"/>
        </w:rPr>
        <w:t>Coût des intrants</w:t>
      </w:r>
    </w:p>
    <w:p w14:paraId="6C40E8E6" w14:textId="2DFE8037" w:rsidR="1BDD9486" w:rsidRDefault="36870227" w:rsidP="13C70224">
      <w:pPr>
        <w:spacing w:before="240" w:after="240" w:line="276" w:lineRule="auto"/>
        <w:rPr>
          <w:rFonts w:eastAsia="Arial" w:cs="Arial"/>
        </w:rPr>
      </w:pPr>
      <w:r w:rsidRPr="13C70224">
        <w:rPr>
          <w:rFonts w:eastAsia="Arial" w:cs="Arial"/>
        </w:rPr>
        <w:t xml:space="preserve">Concernant les quantités d’intrants nécessaires, celles-ci sont identiques entre la situation de référence et la situation dans laquelle les apports sont modulés au sein de la parcelle. En effet, dans le cas d’amendements correctifs tels que le chaulage, l’analyse réalisée sur un échantillon représentatif de la moyenne de la parcelle conduit théoriquement au même résultat que la moyenne des mesures réalisées sur l’ensemble de la parcelle. </w:t>
      </w:r>
    </w:p>
    <w:p w14:paraId="0004B6B4" w14:textId="49B1D3B3" w:rsidR="1BDD9486" w:rsidRDefault="36870227" w:rsidP="13C70224">
      <w:pPr>
        <w:spacing w:before="240" w:after="240" w:line="276" w:lineRule="auto"/>
        <w:rPr>
          <w:rFonts w:eastAsia="Arial" w:cs="Arial"/>
        </w:rPr>
      </w:pPr>
      <w:r w:rsidRPr="13C70224">
        <w:rPr>
          <w:rFonts w:eastAsia="Arial" w:cs="Arial"/>
        </w:rPr>
        <w:t>Dans cette configuration, la mise en place d’une modulation des apports ne modifie donc pas la quantité totale d’amendement calcaire nécessaire, mais uniquement sa répartition spatiale au sein de la parcelle. Par conséquent, aucun impact n’est attendu sur la quantité totale d’intrant appliquée entre la situation de référence et la situation avec cartographie du sol.</w:t>
      </w:r>
    </w:p>
    <w:p w14:paraId="580AC855" w14:textId="62A1D71B" w:rsidR="1BDD9486" w:rsidRDefault="1BDD9486" w:rsidP="13C70224">
      <w:pPr>
        <w:spacing w:before="240" w:after="240" w:line="276" w:lineRule="auto"/>
        <w:rPr>
          <w:rFonts w:eastAsia="Arial" w:cs="Arial"/>
        </w:rPr>
      </w:pPr>
    </w:p>
    <w:p w14:paraId="363B01A3" w14:textId="4F6D85C4" w:rsidR="1BDD9486" w:rsidRDefault="36870227" w:rsidP="13C70224">
      <w:pPr>
        <w:pStyle w:val="Titre4"/>
        <w:spacing w:before="240" w:after="240" w:line="276" w:lineRule="auto"/>
        <w:rPr>
          <w:rFonts w:eastAsia="Arial" w:cs="Arial"/>
        </w:rPr>
      </w:pPr>
      <w:r w:rsidRPr="13C70224">
        <w:rPr>
          <w:rFonts w:eastAsia="Arial" w:cs="Arial"/>
        </w:rPr>
        <w:t>Écume de sucrerie</w:t>
      </w:r>
    </w:p>
    <w:p w14:paraId="630AE290" w14:textId="752CAC44" w:rsidR="1BDD9486" w:rsidRDefault="36870227" w:rsidP="13C70224">
      <w:pPr>
        <w:spacing w:before="240" w:after="240" w:line="276" w:lineRule="auto"/>
        <w:rPr>
          <w:rFonts w:eastAsia="Arial" w:cs="Arial"/>
        </w:rPr>
      </w:pPr>
      <w:r w:rsidRPr="13C70224">
        <w:rPr>
          <w:rFonts w:eastAsia="Arial" w:cs="Arial"/>
        </w:rPr>
        <w:t xml:space="preserve">Le prix des écumes de sucrerie sur l’exploitation est de 9,65 € HT/t, pour des écumes présentant une valeur neutralisante comprise entre 24,2 et 25,8. Dans le cadre de cette évaluation, une valeur </w:t>
      </w:r>
      <w:r w:rsidRPr="13C70224">
        <w:rPr>
          <w:rFonts w:eastAsia="Arial" w:cs="Arial"/>
        </w:rPr>
        <w:lastRenderedPageBreak/>
        <w:t xml:space="preserve">moyenne de 25 a été retenue. Cela signifie que 100 kg d’écumes possèdent une capacité de neutralisation équivalente à 25 kg de </w:t>
      </w:r>
      <w:proofErr w:type="spellStart"/>
      <w:r w:rsidRPr="13C70224">
        <w:rPr>
          <w:rFonts w:eastAsia="Arial" w:cs="Arial"/>
        </w:rPr>
        <w:t>CaO</w:t>
      </w:r>
      <w:proofErr w:type="spellEnd"/>
      <w:r w:rsidRPr="13C70224">
        <w:rPr>
          <w:rFonts w:eastAsia="Arial" w:cs="Arial"/>
        </w:rPr>
        <w:t xml:space="preserve">. </w:t>
      </w:r>
    </w:p>
    <w:p w14:paraId="60FAE89B" w14:textId="373A5897" w:rsidR="1BDD9486" w:rsidRDefault="3191214C" w:rsidP="13C70224">
      <w:pPr>
        <w:spacing w:before="240" w:after="240" w:line="276" w:lineRule="auto"/>
        <w:rPr>
          <w:rFonts w:eastAsia="Arial" w:cs="Arial"/>
        </w:rPr>
      </w:pPr>
      <w:r w:rsidRPr="3BFF6491">
        <w:rPr>
          <w:rFonts w:eastAsia="Arial" w:cs="Arial"/>
        </w:rPr>
        <w:t xml:space="preserve">La quantité totale d’écume de sucrerie nécessaire à la correction du pH sur l’ensemble de l’exploitation est déterminée dans le tableau </w:t>
      </w:r>
      <w:r w:rsidR="2376701A" w:rsidRPr="3BFF6491">
        <w:rPr>
          <w:rFonts w:eastAsia="Arial" w:cs="Arial"/>
        </w:rPr>
        <w:t>7</w:t>
      </w:r>
      <w:r w:rsidRPr="3BFF6491">
        <w:rPr>
          <w:rFonts w:eastAsia="Arial" w:cs="Arial"/>
        </w:rPr>
        <w:t xml:space="preserve">. </w:t>
      </w:r>
    </w:p>
    <w:p w14:paraId="1BC738DE" w14:textId="4682E8AD" w:rsidR="1BDD9486" w:rsidRDefault="3191214C" w:rsidP="3BFF6491">
      <w:pPr>
        <w:spacing w:before="240" w:after="240" w:line="276" w:lineRule="auto"/>
        <w:rPr>
          <w:rFonts w:asciiTheme="minorHAnsi" w:eastAsiaTheme="minorEastAsia" w:hAnsiTheme="minorHAnsi"/>
          <w:i/>
          <w:iCs/>
          <w:color w:val="0E2841" w:themeColor="text2"/>
          <w:sz w:val="18"/>
          <w:szCs w:val="18"/>
        </w:rPr>
      </w:pPr>
      <w:r w:rsidRPr="3BFF6491">
        <w:rPr>
          <w:rFonts w:asciiTheme="minorHAnsi" w:eastAsiaTheme="minorEastAsia" w:hAnsiTheme="minorHAnsi"/>
          <w:i/>
          <w:iCs/>
          <w:color w:val="0E2841" w:themeColor="text2"/>
          <w:sz w:val="18"/>
          <w:szCs w:val="18"/>
        </w:rPr>
        <w:t xml:space="preserve">Tableau </w:t>
      </w:r>
      <w:r w:rsidR="50777DCE" w:rsidRPr="3BFF6491">
        <w:rPr>
          <w:rFonts w:asciiTheme="minorHAnsi" w:eastAsiaTheme="minorEastAsia" w:hAnsiTheme="minorHAnsi"/>
          <w:i/>
          <w:iCs/>
          <w:color w:val="0E2841" w:themeColor="text2"/>
          <w:sz w:val="18"/>
          <w:szCs w:val="18"/>
        </w:rPr>
        <w:t>7</w:t>
      </w:r>
      <w:r w:rsidRPr="3BFF6491">
        <w:rPr>
          <w:rFonts w:asciiTheme="minorHAnsi" w:eastAsiaTheme="minorEastAsia" w:hAnsiTheme="minorHAnsi"/>
          <w:i/>
          <w:iCs/>
          <w:color w:val="0E2841" w:themeColor="text2"/>
          <w:sz w:val="18"/>
          <w:szCs w:val="18"/>
        </w:rPr>
        <w:t>.</w:t>
      </w:r>
      <w:r w:rsidR="50777DCE" w:rsidRPr="3BFF6491">
        <w:rPr>
          <w:rFonts w:asciiTheme="minorHAnsi" w:eastAsiaTheme="minorEastAsia" w:hAnsiTheme="minorHAnsi"/>
          <w:i/>
          <w:iCs/>
          <w:color w:val="0E2841" w:themeColor="text2"/>
          <w:sz w:val="18"/>
          <w:szCs w:val="18"/>
        </w:rPr>
        <w:t xml:space="preserve"> Détermination des quantités d’écumes nécessaires par parcelles.</w:t>
      </w:r>
    </w:p>
    <w:tbl>
      <w:tblPr>
        <w:tblW w:w="0" w:type="auto"/>
        <w:jc w:val="center"/>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410"/>
        <w:gridCol w:w="1635"/>
        <w:gridCol w:w="1650"/>
        <w:gridCol w:w="1950"/>
        <w:gridCol w:w="1658"/>
      </w:tblGrid>
      <w:tr w:rsidR="6D20A9A5" w14:paraId="7017DE4E"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5EF40E7" w14:textId="08807856"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Parcelle</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6B1C98E" w14:textId="08325374"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Superficie</w:t>
            </w:r>
          </w:p>
          <w:p w14:paraId="50208C63" w14:textId="062E76ED"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w:t>
            </w:r>
            <w:proofErr w:type="gramStart"/>
            <w:r w:rsidRPr="13C70224">
              <w:rPr>
                <w:rFonts w:eastAsia="Arial" w:cs="Arial"/>
                <w:b/>
                <w:bCs/>
                <w:color w:val="000000" w:themeColor="text1"/>
                <w:sz w:val="22"/>
                <w:szCs w:val="22"/>
                <w:lang w:val="fr-BE"/>
              </w:rPr>
              <w:t>ha</w:t>
            </w:r>
            <w:proofErr w:type="gramEnd"/>
            <w:r w:rsidRPr="13C70224">
              <w:rPr>
                <w:rFonts w:eastAsia="Arial" w:cs="Arial"/>
                <w:b/>
                <w:bCs/>
                <w:color w:val="000000" w:themeColor="text1"/>
                <w:sz w:val="22"/>
                <w:szCs w:val="22"/>
                <w:lang w:val="fr-BE"/>
              </w:rPr>
              <w:t>)</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B2C1F87" w14:textId="21FDEF45" w:rsidR="6D20A9A5" w:rsidRDefault="4E7BA27D" w:rsidP="13C70224">
            <w:pPr>
              <w:spacing w:after="0" w:line="276" w:lineRule="auto"/>
              <w:jc w:val="center"/>
              <w:rPr>
                <w:rFonts w:eastAsia="Arial" w:cs="Arial"/>
                <w:b/>
                <w:bCs/>
                <w:color w:val="000000" w:themeColor="text1"/>
                <w:sz w:val="22"/>
                <w:szCs w:val="22"/>
                <w:lang w:val="fr-BE"/>
              </w:rPr>
            </w:pPr>
            <w:r w:rsidRPr="13C70224">
              <w:rPr>
                <w:rFonts w:eastAsia="Arial" w:cs="Arial"/>
                <w:b/>
                <w:bCs/>
                <w:color w:val="000000" w:themeColor="text1"/>
                <w:sz w:val="22"/>
                <w:szCs w:val="22"/>
                <w:lang w:val="fr-BE"/>
              </w:rPr>
              <w:t>Nbre d’analyses</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50A0850" w14:textId="1DB925AC"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Ecumes Total (VN)</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1A3C997" w14:textId="3F5378C7"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Ecumes total (t)</w:t>
            </w:r>
          </w:p>
        </w:tc>
      </w:tr>
      <w:tr w:rsidR="6D20A9A5" w14:paraId="0143EF09"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E569457" w14:textId="75F71BF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Paradis</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CD236B7" w14:textId="60B5667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9,7</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B172FED" w14:textId="5BF16974"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9</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D07EB1F" w14:textId="3F123AFC"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13.884</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617ED2D" w14:textId="140F967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55,5</w:t>
            </w:r>
          </w:p>
        </w:tc>
      </w:tr>
      <w:tr w:rsidR="6D20A9A5" w14:paraId="2A26B65F"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A1370C9" w14:textId="38C81325"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Lambert</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3E6ADB7" w14:textId="0DB78AD2"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5,2</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E86C59B" w14:textId="40DAC97D"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8</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CE4CBF6" w14:textId="5FE1EC4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10.124</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C35DAAD" w14:textId="5BCA620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40,5</w:t>
            </w:r>
          </w:p>
        </w:tc>
      </w:tr>
      <w:tr w:rsidR="6D20A9A5" w14:paraId="22F27ED3"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529058B" w14:textId="021E08F5"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Nosipont</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0E4EAB0" w14:textId="37F9188B"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8</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2C5F5C1" w14:textId="3223342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EFC2AA7" w14:textId="479666C7"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11.280</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CBCFD29" w14:textId="33927DED"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45,1</w:t>
            </w:r>
          </w:p>
        </w:tc>
      </w:tr>
      <w:tr w:rsidR="6D20A9A5" w14:paraId="4CF87492"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23CE6E3" w14:textId="557326FB"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Pivot</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D967FB3" w14:textId="2650629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32</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9759723" w14:textId="57AB7E3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22</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1358772E" w14:textId="04BD7E61"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3.418</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9523271" w14:textId="6334C34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13,7</w:t>
            </w:r>
          </w:p>
        </w:tc>
      </w:tr>
      <w:tr w:rsidR="6D20A9A5" w14:paraId="3EA5C055"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0E3822D" w14:textId="67E8D6EE"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PtiSeumoy</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3E9193B" w14:textId="0ED463FC"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11,6</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073A1D7" w14:textId="3A4586FD"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EA16003" w14:textId="209375C4"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15.747</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1DE6C47" w14:textId="2285032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63,0</w:t>
            </w:r>
          </w:p>
        </w:tc>
      </w:tr>
      <w:tr w:rsidR="6D20A9A5" w14:paraId="1A7DB490"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EF44247" w14:textId="1B6FC85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Emines</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F89E53A" w14:textId="3A7DF880"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8,5</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1F14C064" w14:textId="112CF10C"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B52C194" w14:textId="47E62169"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11.369</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C8F6298" w14:textId="4CD2D645"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45,5</w:t>
            </w:r>
          </w:p>
        </w:tc>
      </w:tr>
      <w:tr w:rsidR="6D20A9A5" w14:paraId="01ED5E88"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7A1523F" w14:textId="237BA119"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GrdSeumoy</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2DF171A" w14:textId="5479819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20,6</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84BCCA5" w14:textId="154357F4"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20</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B9A9A2C" w14:textId="5CE6F524"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20.909</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8326F3B" w14:textId="1EB63F9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83,6</w:t>
            </w:r>
          </w:p>
        </w:tc>
      </w:tr>
      <w:tr w:rsidR="6D20A9A5" w14:paraId="2CCFF06F"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251E8E3" w14:textId="5F20C632"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ThAuto</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05E2D0A" w14:textId="32954BEE"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20</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2596BC0" w14:textId="735F139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17</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2051E3C" w14:textId="0E9EE64C"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27.353</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25CE038" w14:textId="41E670C5"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109,4</w:t>
            </w:r>
          </w:p>
        </w:tc>
      </w:tr>
      <w:tr w:rsidR="6D20A9A5" w14:paraId="77D47F2F"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1F31E34E" w14:textId="7BBB9626"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Marneffe</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8AD986E" w14:textId="4688377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1,8</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EF72C0D" w14:textId="6EE6E5B6"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7</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1F4AB24" w14:textId="594FA68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2.372</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BA60BD7" w14:textId="1DDED97E"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9,9</w:t>
            </w:r>
          </w:p>
        </w:tc>
      </w:tr>
      <w:tr w:rsidR="6D20A9A5" w14:paraId="76AB8F11"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470D7A79" w14:textId="0350481C"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Flabat</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3B9FA69" w14:textId="449A726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7,3</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0D63168" w14:textId="14D5EB98"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12</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AEE2F67" w14:textId="5D9BEA07"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0</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E3F2C71" w14:textId="11DC76E9"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0,0</w:t>
            </w:r>
          </w:p>
        </w:tc>
      </w:tr>
      <w:tr w:rsidR="6D20A9A5" w14:paraId="68D41763"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16F30E3" w14:textId="652452A1"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GrdVillers</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211DB12" w14:textId="358A7E92"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19</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AEDF373" w14:textId="78CABA30"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21</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5C098C5" w14:textId="4AD5F9DB"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0</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72303BA" w14:textId="1FF728D9"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0,0</w:t>
            </w:r>
          </w:p>
        </w:tc>
      </w:tr>
      <w:tr w:rsidR="6D20A9A5" w14:paraId="22A98867"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2ED6B69D" w14:textId="45E5B59F" w:rsidR="6D20A9A5" w:rsidRDefault="4E7BA27D" w:rsidP="13C70224">
            <w:pPr>
              <w:spacing w:after="0" w:line="276" w:lineRule="auto"/>
              <w:jc w:val="center"/>
              <w:rPr>
                <w:rFonts w:eastAsia="Arial" w:cs="Arial"/>
                <w:color w:val="000000" w:themeColor="text1"/>
                <w:sz w:val="22"/>
                <w:szCs w:val="22"/>
              </w:rPr>
            </w:pPr>
            <w:proofErr w:type="spellStart"/>
            <w:r w:rsidRPr="13C70224">
              <w:rPr>
                <w:rFonts w:eastAsia="Arial" w:cs="Arial"/>
                <w:color w:val="000000" w:themeColor="text1"/>
                <w:sz w:val="22"/>
                <w:szCs w:val="22"/>
                <w:lang w:val="fr-BE"/>
              </w:rPr>
              <w:t>PtiVillers</w:t>
            </w:r>
            <w:proofErr w:type="spellEnd"/>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240F2F0" w14:textId="0FC3564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4,5</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1B8C4AE5" w14:textId="7F41A1EA"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10</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46DA3FE" w14:textId="4847429C"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5.693</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642C4431" w14:textId="4D83878F" w:rsidR="6D20A9A5" w:rsidRDefault="4E7BA27D" w:rsidP="13C70224">
            <w:pPr>
              <w:spacing w:after="0" w:line="276" w:lineRule="auto"/>
              <w:jc w:val="center"/>
              <w:rPr>
                <w:rFonts w:eastAsia="Arial" w:cs="Arial"/>
                <w:color w:val="000000" w:themeColor="text1"/>
                <w:sz w:val="22"/>
                <w:szCs w:val="22"/>
              </w:rPr>
            </w:pPr>
            <w:r w:rsidRPr="13C70224">
              <w:rPr>
                <w:rFonts w:eastAsia="Arial" w:cs="Arial"/>
                <w:color w:val="000000" w:themeColor="text1"/>
                <w:sz w:val="22"/>
                <w:szCs w:val="22"/>
                <w:lang w:val="fr-BE"/>
              </w:rPr>
              <w:t>22,8</w:t>
            </w:r>
          </w:p>
        </w:tc>
      </w:tr>
      <w:tr w:rsidR="6D20A9A5" w14:paraId="2AB7C811" w14:textId="77777777" w:rsidTr="13C70224">
        <w:trPr>
          <w:trHeight w:val="285"/>
          <w:jc w:val="center"/>
        </w:trPr>
        <w:tc>
          <w:tcPr>
            <w:tcW w:w="141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33632AFB" w14:textId="7E069987"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Total :</w:t>
            </w:r>
          </w:p>
        </w:tc>
        <w:tc>
          <w:tcPr>
            <w:tcW w:w="1635"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7C75D9C2" w14:textId="2A6757D8"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148,2</w:t>
            </w:r>
          </w:p>
        </w:tc>
        <w:tc>
          <w:tcPr>
            <w:tcW w:w="16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DA99AA9" w14:textId="45A72212"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156</w:t>
            </w:r>
          </w:p>
        </w:tc>
        <w:tc>
          <w:tcPr>
            <w:tcW w:w="1950"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558576BA" w14:textId="5C57AAFF"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122.149</w:t>
            </w:r>
          </w:p>
        </w:tc>
        <w:tc>
          <w:tcPr>
            <w:tcW w:w="1658" w:type="dxa"/>
            <w:tcBorders>
              <w:top w:val="single" w:sz="6" w:space="0" w:color="auto"/>
              <w:left w:val="single" w:sz="6" w:space="0" w:color="auto"/>
              <w:bottom w:val="single" w:sz="6" w:space="0" w:color="auto"/>
              <w:right w:val="single" w:sz="6" w:space="0" w:color="auto"/>
            </w:tcBorders>
            <w:tcMar>
              <w:left w:w="60" w:type="dxa"/>
              <w:right w:w="60" w:type="dxa"/>
            </w:tcMar>
            <w:vAlign w:val="center"/>
          </w:tcPr>
          <w:p w14:paraId="06CE9B84" w14:textId="1556C1F1" w:rsidR="6D20A9A5" w:rsidRDefault="4E7BA27D" w:rsidP="13C70224">
            <w:pPr>
              <w:spacing w:after="0" w:line="276" w:lineRule="auto"/>
              <w:jc w:val="center"/>
              <w:rPr>
                <w:rFonts w:eastAsia="Arial" w:cs="Arial"/>
                <w:color w:val="000000" w:themeColor="text1"/>
                <w:sz w:val="22"/>
                <w:szCs w:val="22"/>
              </w:rPr>
            </w:pPr>
            <w:r w:rsidRPr="13C70224">
              <w:rPr>
                <w:rFonts w:eastAsia="Arial" w:cs="Arial"/>
                <w:b/>
                <w:bCs/>
                <w:color w:val="000000" w:themeColor="text1"/>
                <w:sz w:val="22"/>
                <w:szCs w:val="22"/>
                <w:lang w:val="fr-BE"/>
              </w:rPr>
              <w:t>489</w:t>
            </w:r>
          </w:p>
        </w:tc>
      </w:tr>
    </w:tbl>
    <w:p w14:paraId="51A31679" w14:textId="3CA3C59C" w:rsidR="1BDD9486" w:rsidRDefault="36870227" w:rsidP="30FB3E96">
      <w:pPr>
        <w:spacing w:before="240" w:after="240" w:line="276" w:lineRule="auto"/>
        <w:rPr>
          <w:rFonts w:eastAsia="Arial" w:cs="Arial"/>
        </w:rPr>
      </w:pPr>
      <w:r w:rsidRPr="30FB3E96">
        <w:rPr>
          <w:rFonts w:eastAsia="Arial" w:cs="Arial"/>
        </w:rPr>
        <w:t>489t d’écume de sucrerie aurait été nécessaire pour corriger l’ensemble des parcelles. Rapporté à une rotation de 4ans, il faudrait à la Ferme du Plein Air environ 122.25 t</w:t>
      </w:r>
      <w:r w:rsidR="4DE8CD30" w:rsidRPr="30FB3E96">
        <w:rPr>
          <w:rFonts w:eastAsia="Arial" w:cs="Arial"/>
        </w:rPr>
        <w:t>/an</w:t>
      </w:r>
      <w:r w:rsidRPr="30FB3E96">
        <w:rPr>
          <w:rFonts w:eastAsia="Arial" w:cs="Arial"/>
        </w:rPr>
        <w:t xml:space="preserve"> d’écume. </w:t>
      </w:r>
    </w:p>
    <w:p w14:paraId="5FB1D7AF" w14:textId="728DEE3B" w:rsidR="1BDD9486" w:rsidRDefault="1BDD9486" w:rsidP="13C70224">
      <w:pPr>
        <w:spacing w:before="240" w:after="240" w:line="276" w:lineRule="auto"/>
        <w:rPr>
          <w:rFonts w:eastAsia="Arial" w:cs="Arial"/>
        </w:rPr>
      </w:pPr>
    </w:p>
    <w:p w14:paraId="3875361B" w14:textId="2D0F0187" w:rsidR="1BDD9486" w:rsidRDefault="36870227" w:rsidP="13C70224">
      <w:pPr>
        <w:pStyle w:val="Titre4"/>
        <w:spacing w:line="276" w:lineRule="auto"/>
        <w:rPr>
          <w:rFonts w:eastAsia="Arial" w:cs="Arial"/>
        </w:rPr>
      </w:pPr>
      <w:r w:rsidRPr="13C70224">
        <w:rPr>
          <w:rFonts w:eastAsia="Arial" w:cs="Arial"/>
        </w:rPr>
        <w:t>Compost</w:t>
      </w:r>
    </w:p>
    <w:p w14:paraId="34633632" w14:textId="2B6A118C" w:rsidR="1BDD9486" w:rsidRDefault="3191214C" w:rsidP="13C70224">
      <w:pPr>
        <w:spacing w:before="240" w:after="240" w:line="276" w:lineRule="auto"/>
        <w:rPr>
          <w:rFonts w:eastAsia="Arial" w:cs="Arial"/>
        </w:rPr>
      </w:pPr>
      <w:r w:rsidRPr="3BFF6491">
        <w:rPr>
          <w:rFonts w:eastAsia="Arial" w:cs="Arial"/>
        </w:rPr>
        <w:t xml:space="preserve">Le prix du compost sur l’exploitation est de 21€ HT/t. La réglementation PGDA limite la quantité d’azote organique pouvant être apportée sur les parcelles. Les analyses de compost indiquent que la quantité maximale de compost pouvant être appliquée sur les parcelles est comprise entre 18,5 et 19,3 t/ha, sur la base des teneurs en azote organique mesurées dans les tas étudiés. Dans le cadre de cette évaluation, une valeur moyenne de 19 t/ha a été retenue. Si la quantité maximale de compost est appliquée sur chaque parcelle du projet, le </w:t>
      </w:r>
      <w:r w:rsidR="6A2616FF" w:rsidRPr="3BFF6491">
        <w:rPr>
          <w:rFonts w:eastAsia="Arial" w:cs="Arial"/>
        </w:rPr>
        <w:t>t</w:t>
      </w:r>
      <w:r w:rsidRPr="3BFF6491">
        <w:rPr>
          <w:rFonts w:eastAsia="Arial" w:cs="Arial"/>
        </w:rPr>
        <w:t xml:space="preserve">ableau </w:t>
      </w:r>
      <w:r w:rsidR="52DC403D" w:rsidRPr="3BFF6491">
        <w:rPr>
          <w:rFonts w:eastAsia="Arial" w:cs="Arial"/>
        </w:rPr>
        <w:t>8</w:t>
      </w:r>
      <w:r w:rsidRPr="3BFF6491">
        <w:rPr>
          <w:rFonts w:eastAsia="Arial" w:cs="Arial"/>
        </w:rPr>
        <w:t xml:space="preserve"> présente les quantités totales de compost nécessaires pour une rotation culturale.</w:t>
      </w:r>
    </w:p>
    <w:p w14:paraId="05355503" w14:textId="0A988E3E" w:rsidR="1BDD9486" w:rsidRDefault="74C3DEEA" w:rsidP="13C70224">
      <w:pPr>
        <w:spacing w:line="276" w:lineRule="auto"/>
        <w:rPr>
          <w:rFonts w:eastAsia="Arial" w:cs="Arial"/>
        </w:rPr>
      </w:pPr>
      <w:r w:rsidRPr="3BFF6491">
        <w:rPr>
          <w:rFonts w:asciiTheme="minorHAnsi" w:eastAsiaTheme="minorEastAsia" w:hAnsiTheme="minorHAnsi"/>
          <w:i/>
          <w:iCs/>
          <w:color w:val="0E2841" w:themeColor="text2"/>
          <w:sz w:val="18"/>
          <w:szCs w:val="18"/>
        </w:rPr>
        <w:t>Tableau</w:t>
      </w:r>
      <w:r w:rsidR="3191214C" w:rsidRPr="3BFF6491">
        <w:rPr>
          <w:rFonts w:asciiTheme="minorHAnsi" w:eastAsiaTheme="minorEastAsia" w:hAnsiTheme="minorHAnsi"/>
          <w:i/>
          <w:iCs/>
          <w:color w:val="0E2841" w:themeColor="text2"/>
          <w:sz w:val="18"/>
          <w:szCs w:val="18"/>
        </w:rPr>
        <w:t xml:space="preserve"> </w:t>
      </w:r>
      <w:r w:rsidR="2510C059" w:rsidRPr="3BFF6491">
        <w:rPr>
          <w:rFonts w:asciiTheme="minorHAnsi" w:eastAsiaTheme="minorEastAsia" w:hAnsiTheme="minorHAnsi"/>
          <w:i/>
          <w:iCs/>
          <w:color w:val="0E2841" w:themeColor="text2"/>
          <w:sz w:val="18"/>
          <w:szCs w:val="18"/>
        </w:rPr>
        <w:t>8</w:t>
      </w:r>
      <w:r w:rsidR="3191214C" w:rsidRPr="3BFF6491">
        <w:rPr>
          <w:rFonts w:asciiTheme="minorHAnsi" w:eastAsiaTheme="minorEastAsia" w:hAnsiTheme="minorHAnsi"/>
          <w:i/>
          <w:iCs/>
          <w:color w:val="0E2841" w:themeColor="text2"/>
          <w:sz w:val="18"/>
          <w:szCs w:val="18"/>
        </w:rPr>
        <w:t>.</w:t>
      </w:r>
      <w:r w:rsidR="61FBD06F" w:rsidRPr="3BFF6491">
        <w:rPr>
          <w:rFonts w:asciiTheme="minorHAnsi" w:eastAsiaTheme="minorEastAsia" w:hAnsiTheme="minorHAnsi"/>
          <w:i/>
          <w:iCs/>
          <w:color w:val="0E2841" w:themeColor="text2"/>
          <w:sz w:val="18"/>
          <w:szCs w:val="18"/>
        </w:rPr>
        <w:t xml:space="preserve"> Détermination des quantités d</w:t>
      </w:r>
      <w:r w:rsidR="39683247" w:rsidRPr="3BFF6491">
        <w:rPr>
          <w:rFonts w:asciiTheme="minorHAnsi" w:eastAsiaTheme="minorEastAsia" w:hAnsiTheme="minorHAnsi"/>
          <w:i/>
          <w:iCs/>
          <w:color w:val="0E2841" w:themeColor="text2"/>
          <w:sz w:val="18"/>
          <w:szCs w:val="18"/>
        </w:rPr>
        <w:t>e compost</w:t>
      </w:r>
      <w:r w:rsidR="61FBD06F" w:rsidRPr="3BFF6491">
        <w:rPr>
          <w:rFonts w:asciiTheme="minorHAnsi" w:eastAsiaTheme="minorEastAsia" w:hAnsiTheme="minorHAnsi"/>
          <w:i/>
          <w:iCs/>
          <w:color w:val="0E2841" w:themeColor="text2"/>
          <w:sz w:val="18"/>
          <w:szCs w:val="18"/>
        </w:rPr>
        <w:t xml:space="preserve"> nécessaires par parcelles.</w:t>
      </w:r>
      <w:r w:rsidR="1BDD9486">
        <w:tab/>
      </w:r>
      <w:r w:rsidR="1BDD9486">
        <w:tab/>
      </w:r>
      <w:r w:rsidR="1BDD9486">
        <w:tab/>
      </w:r>
      <w:r w:rsidR="1BDD9486">
        <w:tab/>
      </w:r>
      <w:r w:rsidR="1BDD9486">
        <w:tab/>
      </w:r>
      <w:r w:rsidR="1BDD9486">
        <w:tab/>
      </w:r>
      <w:r w:rsidR="1BDD9486">
        <w:tab/>
      </w:r>
      <w:r w:rsidR="1BDD9486">
        <w:tab/>
      </w:r>
      <w:r w:rsidR="1BDD9486">
        <w:tab/>
      </w:r>
      <w:r w:rsidR="1BDD9486">
        <w:tab/>
      </w:r>
    </w:p>
    <w:tbl>
      <w:tblPr>
        <w:tblW w:w="0" w:type="auto"/>
        <w:jc w:val="center"/>
        <w:tblLook w:val="06A0" w:firstRow="1" w:lastRow="0" w:firstColumn="1" w:lastColumn="0" w:noHBand="1" w:noVBand="1"/>
      </w:tblPr>
      <w:tblGrid>
        <w:gridCol w:w="1515"/>
        <w:gridCol w:w="1515"/>
        <w:gridCol w:w="1515"/>
      </w:tblGrid>
      <w:tr w:rsidR="6D20A9A5" w14:paraId="21E1911B" w14:textId="77777777" w:rsidTr="13C70224">
        <w:trPr>
          <w:trHeight w:val="46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B3C291" w14:textId="2C2C451C" w:rsidR="6D20A9A5" w:rsidRDefault="4E7BA27D" w:rsidP="13C70224">
            <w:pPr>
              <w:spacing w:after="0" w:line="276" w:lineRule="auto"/>
              <w:jc w:val="center"/>
              <w:rPr>
                <w:rFonts w:eastAsia="Arial" w:cs="Arial"/>
                <w:b/>
                <w:bCs/>
              </w:rPr>
            </w:pPr>
            <w:r w:rsidRPr="13C70224">
              <w:rPr>
                <w:rFonts w:eastAsia="Arial" w:cs="Arial"/>
                <w:b/>
                <w:bCs/>
              </w:rPr>
              <w:t xml:space="preserve">Parcelle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F5E664" w14:textId="52FDDD85" w:rsidR="6D20A9A5" w:rsidRDefault="4E7BA27D" w:rsidP="13C70224">
            <w:pPr>
              <w:spacing w:after="0" w:line="276" w:lineRule="auto"/>
              <w:jc w:val="center"/>
              <w:rPr>
                <w:rFonts w:eastAsia="Arial" w:cs="Arial"/>
                <w:b/>
                <w:bCs/>
              </w:rPr>
            </w:pPr>
            <w:r w:rsidRPr="13C70224">
              <w:rPr>
                <w:rFonts w:eastAsia="Arial" w:cs="Arial"/>
                <w:b/>
                <w:bCs/>
              </w:rPr>
              <w:t xml:space="preserve">Superficie </w:t>
            </w:r>
            <w:r w:rsidR="6D20A9A5">
              <w:br/>
            </w:r>
            <w:r w:rsidRPr="13C70224">
              <w:rPr>
                <w:rFonts w:eastAsia="Arial" w:cs="Arial"/>
                <w:b/>
                <w:bCs/>
              </w:rPr>
              <w:t xml:space="preserve">(ha)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DE5450" w14:textId="6AB0A663" w:rsidR="6D20A9A5" w:rsidRDefault="4E7BA27D" w:rsidP="13C70224">
            <w:pPr>
              <w:spacing w:after="0" w:line="276" w:lineRule="auto"/>
              <w:jc w:val="center"/>
              <w:rPr>
                <w:rFonts w:eastAsia="Arial" w:cs="Arial"/>
                <w:b/>
                <w:bCs/>
              </w:rPr>
            </w:pPr>
            <w:r w:rsidRPr="13C70224">
              <w:rPr>
                <w:rFonts w:eastAsia="Arial" w:cs="Arial"/>
                <w:b/>
                <w:bCs/>
              </w:rPr>
              <w:t xml:space="preserve">Compost total (t) </w:t>
            </w:r>
          </w:p>
        </w:tc>
      </w:tr>
      <w:tr w:rsidR="6D20A9A5" w14:paraId="147B4A77"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90569D" w14:textId="6A7A2EF1" w:rsidR="6D20A9A5" w:rsidRDefault="4E7BA27D" w:rsidP="13C70224">
            <w:pPr>
              <w:spacing w:after="0" w:line="276" w:lineRule="auto"/>
              <w:jc w:val="center"/>
              <w:rPr>
                <w:rFonts w:eastAsia="Arial" w:cs="Arial"/>
              </w:rPr>
            </w:pPr>
            <w:r w:rsidRPr="13C70224">
              <w:rPr>
                <w:rFonts w:eastAsia="Arial" w:cs="Arial"/>
              </w:rPr>
              <w:t xml:space="preserve">Paradis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82AFB64" w14:textId="18987269" w:rsidR="6D20A9A5" w:rsidRDefault="4E7BA27D" w:rsidP="13C70224">
            <w:pPr>
              <w:spacing w:after="0" w:line="276" w:lineRule="auto"/>
              <w:jc w:val="center"/>
              <w:rPr>
                <w:rFonts w:eastAsia="Arial" w:cs="Arial"/>
              </w:rPr>
            </w:pPr>
            <w:r w:rsidRPr="13C70224">
              <w:rPr>
                <w:rFonts w:eastAsia="Arial" w:cs="Arial"/>
              </w:rPr>
              <w:t>9.7</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916567" w14:textId="049F6BDA" w:rsidR="6D20A9A5" w:rsidRDefault="4E7BA27D" w:rsidP="13C70224">
            <w:pPr>
              <w:spacing w:after="0" w:line="276" w:lineRule="auto"/>
              <w:jc w:val="center"/>
              <w:rPr>
                <w:rFonts w:eastAsia="Arial" w:cs="Arial"/>
              </w:rPr>
            </w:pPr>
            <w:r w:rsidRPr="13C70224">
              <w:rPr>
                <w:rFonts w:eastAsia="Arial" w:cs="Arial"/>
              </w:rPr>
              <w:t>184.3</w:t>
            </w:r>
          </w:p>
        </w:tc>
      </w:tr>
      <w:tr w:rsidR="6D20A9A5" w14:paraId="0C6EC20B"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56BAF3" w14:textId="05667B6B" w:rsidR="6D20A9A5" w:rsidRDefault="4E7BA27D" w:rsidP="13C70224">
            <w:pPr>
              <w:spacing w:after="0" w:line="276" w:lineRule="auto"/>
              <w:jc w:val="center"/>
              <w:rPr>
                <w:rFonts w:eastAsia="Arial" w:cs="Arial"/>
              </w:rPr>
            </w:pPr>
            <w:r w:rsidRPr="13C70224">
              <w:rPr>
                <w:rFonts w:eastAsia="Arial" w:cs="Arial"/>
              </w:rPr>
              <w:t xml:space="preserve">Lambert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2A0FA4" w14:textId="60F9A706" w:rsidR="6D20A9A5" w:rsidRDefault="4E7BA27D" w:rsidP="13C70224">
            <w:pPr>
              <w:spacing w:after="0" w:line="276" w:lineRule="auto"/>
              <w:jc w:val="center"/>
              <w:rPr>
                <w:rFonts w:eastAsia="Arial" w:cs="Arial"/>
              </w:rPr>
            </w:pPr>
            <w:r w:rsidRPr="13C70224">
              <w:rPr>
                <w:rFonts w:eastAsia="Arial" w:cs="Arial"/>
              </w:rPr>
              <w:t>5.2</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AEEF04" w14:textId="503698D4" w:rsidR="6D20A9A5" w:rsidRDefault="4E7BA27D" w:rsidP="13C70224">
            <w:pPr>
              <w:spacing w:after="0" w:line="276" w:lineRule="auto"/>
              <w:jc w:val="center"/>
              <w:rPr>
                <w:rFonts w:eastAsia="Arial" w:cs="Arial"/>
              </w:rPr>
            </w:pPr>
            <w:r w:rsidRPr="13C70224">
              <w:rPr>
                <w:rFonts w:eastAsia="Arial" w:cs="Arial"/>
              </w:rPr>
              <w:t>98.8</w:t>
            </w:r>
          </w:p>
        </w:tc>
      </w:tr>
      <w:tr w:rsidR="6D20A9A5" w14:paraId="3F2E08C1"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0023AB6" w14:textId="2A5F48A2" w:rsidR="6D20A9A5" w:rsidRDefault="4E7BA27D" w:rsidP="13C70224">
            <w:pPr>
              <w:spacing w:after="0" w:line="276" w:lineRule="auto"/>
              <w:jc w:val="center"/>
              <w:rPr>
                <w:rFonts w:eastAsia="Arial" w:cs="Arial"/>
              </w:rPr>
            </w:pPr>
            <w:proofErr w:type="spellStart"/>
            <w:r w:rsidRPr="13C70224">
              <w:rPr>
                <w:rFonts w:eastAsia="Arial" w:cs="Arial"/>
              </w:rPr>
              <w:t>Nosipont</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2719258" w14:textId="57F64F9B" w:rsidR="6D20A9A5" w:rsidRDefault="4E7BA27D" w:rsidP="13C70224">
            <w:pPr>
              <w:spacing w:after="0" w:line="276" w:lineRule="auto"/>
              <w:jc w:val="center"/>
              <w:rPr>
                <w:rFonts w:eastAsia="Arial" w:cs="Arial"/>
              </w:rPr>
            </w:pPr>
            <w:r w:rsidRPr="13C70224">
              <w:rPr>
                <w:rFonts w:eastAsia="Arial" w:cs="Arial"/>
              </w:rPr>
              <w:t>8</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885278E" w14:textId="3A3B0313" w:rsidR="6D20A9A5" w:rsidRDefault="4E7BA27D" w:rsidP="13C70224">
            <w:pPr>
              <w:spacing w:after="0" w:line="276" w:lineRule="auto"/>
              <w:jc w:val="center"/>
              <w:rPr>
                <w:rFonts w:eastAsia="Arial" w:cs="Arial"/>
              </w:rPr>
            </w:pPr>
            <w:r w:rsidRPr="13C70224">
              <w:rPr>
                <w:rFonts w:eastAsia="Arial" w:cs="Arial"/>
              </w:rPr>
              <w:t>152</w:t>
            </w:r>
          </w:p>
        </w:tc>
      </w:tr>
      <w:tr w:rsidR="6D20A9A5" w14:paraId="159AEE4C"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B5005C1" w14:textId="615016D4" w:rsidR="6D20A9A5" w:rsidRDefault="4E7BA27D" w:rsidP="13C70224">
            <w:pPr>
              <w:spacing w:after="0" w:line="276" w:lineRule="auto"/>
              <w:jc w:val="center"/>
              <w:rPr>
                <w:rFonts w:eastAsia="Arial" w:cs="Arial"/>
              </w:rPr>
            </w:pPr>
            <w:r w:rsidRPr="13C70224">
              <w:rPr>
                <w:rFonts w:eastAsia="Arial" w:cs="Arial"/>
              </w:rPr>
              <w:t xml:space="preserve">Pivot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D6EE36" w14:textId="4F74B5FD" w:rsidR="6D20A9A5" w:rsidRDefault="4E7BA27D" w:rsidP="13C70224">
            <w:pPr>
              <w:spacing w:after="0" w:line="276" w:lineRule="auto"/>
              <w:jc w:val="center"/>
              <w:rPr>
                <w:rFonts w:eastAsia="Arial" w:cs="Arial"/>
              </w:rPr>
            </w:pPr>
            <w:r w:rsidRPr="13C70224">
              <w:rPr>
                <w:rFonts w:eastAsia="Arial" w:cs="Arial"/>
              </w:rPr>
              <w:t>32</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8893ED" w14:textId="2F3AF802" w:rsidR="6D20A9A5" w:rsidRDefault="4E7BA27D" w:rsidP="13C70224">
            <w:pPr>
              <w:spacing w:after="0" w:line="276" w:lineRule="auto"/>
              <w:jc w:val="center"/>
              <w:rPr>
                <w:rFonts w:eastAsia="Arial" w:cs="Arial"/>
              </w:rPr>
            </w:pPr>
            <w:r w:rsidRPr="13C70224">
              <w:rPr>
                <w:rFonts w:eastAsia="Arial" w:cs="Arial"/>
              </w:rPr>
              <w:t>608</w:t>
            </w:r>
          </w:p>
        </w:tc>
      </w:tr>
      <w:tr w:rsidR="6D20A9A5" w14:paraId="507320D6"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ABFB33A" w14:textId="71C315CC" w:rsidR="6D20A9A5" w:rsidRDefault="4E7BA27D" w:rsidP="13C70224">
            <w:pPr>
              <w:spacing w:after="0" w:line="276" w:lineRule="auto"/>
              <w:jc w:val="center"/>
              <w:rPr>
                <w:rFonts w:eastAsia="Arial" w:cs="Arial"/>
              </w:rPr>
            </w:pPr>
            <w:proofErr w:type="spellStart"/>
            <w:r w:rsidRPr="13C70224">
              <w:rPr>
                <w:rFonts w:eastAsia="Arial" w:cs="Arial"/>
              </w:rPr>
              <w:t>PtiSeumoy</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888E45" w14:textId="35CC80DF" w:rsidR="6D20A9A5" w:rsidRDefault="4E7BA27D" w:rsidP="13C70224">
            <w:pPr>
              <w:spacing w:after="0" w:line="276" w:lineRule="auto"/>
              <w:jc w:val="center"/>
              <w:rPr>
                <w:rFonts w:eastAsia="Arial" w:cs="Arial"/>
              </w:rPr>
            </w:pPr>
            <w:r w:rsidRPr="13C70224">
              <w:rPr>
                <w:rFonts w:eastAsia="Arial" w:cs="Arial"/>
              </w:rPr>
              <w:t>11.6</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184DC3A" w14:textId="46F54277" w:rsidR="6D20A9A5" w:rsidRDefault="4E7BA27D" w:rsidP="13C70224">
            <w:pPr>
              <w:spacing w:after="0" w:line="276" w:lineRule="auto"/>
              <w:jc w:val="center"/>
              <w:rPr>
                <w:rFonts w:eastAsia="Arial" w:cs="Arial"/>
              </w:rPr>
            </w:pPr>
            <w:r w:rsidRPr="13C70224">
              <w:rPr>
                <w:rFonts w:eastAsia="Arial" w:cs="Arial"/>
              </w:rPr>
              <w:t>220.4</w:t>
            </w:r>
          </w:p>
        </w:tc>
      </w:tr>
      <w:tr w:rsidR="6D20A9A5" w14:paraId="66F4B6C4"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3E0989" w14:textId="12253585" w:rsidR="6D20A9A5" w:rsidRDefault="4E7BA27D" w:rsidP="13C70224">
            <w:pPr>
              <w:spacing w:after="0" w:line="276" w:lineRule="auto"/>
              <w:jc w:val="center"/>
              <w:rPr>
                <w:rFonts w:eastAsia="Arial" w:cs="Arial"/>
              </w:rPr>
            </w:pPr>
            <w:r w:rsidRPr="13C70224">
              <w:rPr>
                <w:rFonts w:eastAsia="Arial" w:cs="Arial"/>
              </w:rPr>
              <w:t xml:space="preserve">Emines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B69CE0" w14:textId="79DAE98B" w:rsidR="6D20A9A5" w:rsidRDefault="4E7BA27D" w:rsidP="13C70224">
            <w:pPr>
              <w:spacing w:after="0" w:line="276" w:lineRule="auto"/>
              <w:jc w:val="center"/>
              <w:rPr>
                <w:rFonts w:eastAsia="Arial" w:cs="Arial"/>
              </w:rPr>
            </w:pPr>
            <w:r w:rsidRPr="13C70224">
              <w:rPr>
                <w:rFonts w:eastAsia="Arial" w:cs="Arial"/>
              </w:rPr>
              <w:t>8.5</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DA352A" w14:textId="3D204D0B" w:rsidR="6D20A9A5" w:rsidRDefault="4E7BA27D" w:rsidP="13C70224">
            <w:pPr>
              <w:spacing w:after="0" w:line="276" w:lineRule="auto"/>
              <w:jc w:val="center"/>
              <w:rPr>
                <w:rFonts w:eastAsia="Arial" w:cs="Arial"/>
              </w:rPr>
            </w:pPr>
            <w:r w:rsidRPr="13C70224">
              <w:rPr>
                <w:rFonts w:eastAsia="Arial" w:cs="Arial"/>
              </w:rPr>
              <w:t>161.5</w:t>
            </w:r>
          </w:p>
        </w:tc>
      </w:tr>
      <w:tr w:rsidR="6D20A9A5" w14:paraId="58614A31"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75FEAA" w14:textId="15B9FE95" w:rsidR="6D20A9A5" w:rsidRDefault="4E7BA27D" w:rsidP="13C70224">
            <w:pPr>
              <w:spacing w:after="0" w:line="276" w:lineRule="auto"/>
              <w:jc w:val="center"/>
              <w:rPr>
                <w:rFonts w:eastAsia="Arial" w:cs="Arial"/>
              </w:rPr>
            </w:pPr>
            <w:proofErr w:type="spellStart"/>
            <w:r w:rsidRPr="13C70224">
              <w:rPr>
                <w:rFonts w:eastAsia="Arial" w:cs="Arial"/>
              </w:rPr>
              <w:t>GrdSeumoy</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BEF5881" w14:textId="080769D4" w:rsidR="6D20A9A5" w:rsidRDefault="4E7BA27D" w:rsidP="13C70224">
            <w:pPr>
              <w:spacing w:after="0" w:line="276" w:lineRule="auto"/>
              <w:jc w:val="center"/>
              <w:rPr>
                <w:rFonts w:eastAsia="Arial" w:cs="Arial"/>
              </w:rPr>
            </w:pPr>
            <w:r w:rsidRPr="13C70224">
              <w:rPr>
                <w:rFonts w:eastAsia="Arial" w:cs="Arial"/>
              </w:rPr>
              <w:t>20.6</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5895BF" w14:textId="20E110C3" w:rsidR="6D20A9A5" w:rsidRDefault="4E7BA27D" w:rsidP="13C70224">
            <w:pPr>
              <w:spacing w:after="0" w:line="276" w:lineRule="auto"/>
              <w:jc w:val="center"/>
              <w:rPr>
                <w:rFonts w:eastAsia="Arial" w:cs="Arial"/>
              </w:rPr>
            </w:pPr>
            <w:r w:rsidRPr="13C70224">
              <w:rPr>
                <w:rFonts w:eastAsia="Arial" w:cs="Arial"/>
              </w:rPr>
              <w:t>391.4</w:t>
            </w:r>
          </w:p>
        </w:tc>
      </w:tr>
      <w:tr w:rsidR="6D20A9A5" w14:paraId="4A4B2CBA"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FDC903" w14:textId="6EBD7943" w:rsidR="6D20A9A5" w:rsidRDefault="4E7BA27D" w:rsidP="13C70224">
            <w:pPr>
              <w:spacing w:after="0" w:line="276" w:lineRule="auto"/>
              <w:jc w:val="center"/>
              <w:rPr>
                <w:rFonts w:eastAsia="Arial" w:cs="Arial"/>
              </w:rPr>
            </w:pPr>
            <w:proofErr w:type="spellStart"/>
            <w:r w:rsidRPr="13C70224">
              <w:rPr>
                <w:rFonts w:eastAsia="Arial" w:cs="Arial"/>
              </w:rPr>
              <w:lastRenderedPageBreak/>
              <w:t>ThAuto</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CEA83E" w14:textId="46822AE4" w:rsidR="6D20A9A5" w:rsidRDefault="4E7BA27D" w:rsidP="13C70224">
            <w:pPr>
              <w:spacing w:after="0" w:line="276" w:lineRule="auto"/>
              <w:jc w:val="center"/>
              <w:rPr>
                <w:rFonts w:eastAsia="Arial" w:cs="Arial"/>
              </w:rPr>
            </w:pPr>
            <w:r w:rsidRPr="13C70224">
              <w:rPr>
                <w:rFonts w:eastAsia="Arial" w:cs="Arial"/>
              </w:rPr>
              <w:t>20</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4EB889B" w14:textId="1073E085" w:rsidR="6D20A9A5" w:rsidRDefault="4E7BA27D" w:rsidP="13C70224">
            <w:pPr>
              <w:spacing w:after="0" w:line="276" w:lineRule="auto"/>
              <w:jc w:val="center"/>
              <w:rPr>
                <w:rFonts w:eastAsia="Arial" w:cs="Arial"/>
              </w:rPr>
            </w:pPr>
            <w:r w:rsidRPr="13C70224">
              <w:rPr>
                <w:rFonts w:eastAsia="Arial" w:cs="Arial"/>
              </w:rPr>
              <w:t>380</w:t>
            </w:r>
          </w:p>
        </w:tc>
      </w:tr>
      <w:tr w:rsidR="6D20A9A5" w14:paraId="2D5D341D"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CBCB559" w14:textId="6B8FF75B" w:rsidR="6D20A9A5" w:rsidRDefault="4E7BA27D" w:rsidP="13C70224">
            <w:pPr>
              <w:spacing w:after="0" w:line="276" w:lineRule="auto"/>
              <w:jc w:val="center"/>
              <w:rPr>
                <w:rFonts w:eastAsia="Arial" w:cs="Arial"/>
              </w:rPr>
            </w:pPr>
            <w:proofErr w:type="spellStart"/>
            <w:r w:rsidRPr="13C70224">
              <w:rPr>
                <w:rFonts w:eastAsia="Arial" w:cs="Arial"/>
              </w:rPr>
              <w:t>Marneffe</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EE4938" w14:textId="7AC3C366" w:rsidR="6D20A9A5" w:rsidRDefault="4E7BA27D" w:rsidP="13C70224">
            <w:pPr>
              <w:spacing w:after="0" w:line="276" w:lineRule="auto"/>
              <w:jc w:val="center"/>
              <w:rPr>
                <w:rFonts w:eastAsia="Arial" w:cs="Arial"/>
              </w:rPr>
            </w:pPr>
            <w:r w:rsidRPr="13C70224">
              <w:rPr>
                <w:rFonts w:eastAsia="Arial" w:cs="Arial"/>
              </w:rPr>
              <w:t>1.8</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94EA0E3" w14:textId="4EFD1D65" w:rsidR="6D20A9A5" w:rsidRDefault="4E7BA27D" w:rsidP="13C70224">
            <w:pPr>
              <w:spacing w:after="0" w:line="276" w:lineRule="auto"/>
              <w:jc w:val="center"/>
              <w:rPr>
                <w:rFonts w:eastAsia="Arial" w:cs="Arial"/>
              </w:rPr>
            </w:pPr>
            <w:r w:rsidRPr="13C70224">
              <w:rPr>
                <w:rFonts w:eastAsia="Arial" w:cs="Arial"/>
              </w:rPr>
              <w:t>34.2</w:t>
            </w:r>
          </w:p>
        </w:tc>
      </w:tr>
      <w:tr w:rsidR="6D20A9A5" w14:paraId="789BFEFF"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3FE0230" w14:textId="77E5074E" w:rsidR="6D20A9A5" w:rsidRDefault="4E7BA27D" w:rsidP="13C70224">
            <w:pPr>
              <w:spacing w:after="0" w:line="276" w:lineRule="auto"/>
              <w:jc w:val="center"/>
              <w:rPr>
                <w:rFonts w:eastAsia="Arial" w:cs="Arial"/>
              </w:rPr>
            </w:pPr>
            <w:proofErr w:type="spellStart"/>
            <w:r w:rsidRPr="13C70224">
              <w:rPr>
                <w:rFonts w:eastAsia="Arial" w:cs="Arial"/>
              </w:rPr>
              <w:t>Flabat</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945D34B" w14:textId="6E9ECB0B" w:rsidR="6D20A9A5" w:rsidRDefault="4E7BA27D" w:rsidP="13C70224">
            <w:pPr>
              <w:spacing w:after="0" w:line="276" w:lineRule="auto"/>
              <w:jc w:val="center"/>
              <w:rPr>
                <w:rFonts w:eastAsia="Arial" w:cs="Arial"/>
              </w:rPr>
            </w:pPr>
            <w:r w:rsidRPr="13C70224">
              <w:rPr>
                <w:rFonts w:eastAsia="Arial" w:cs="Arial"/>
              </w:rPr>
              <w:t>7.3</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9326AA3" w14:textId="5CD741F1" w:rsidR="6D20A9A5" w:rsidRDefault="4E7BA27D" w:rsidP="13C70224">
            <w:pPr>
              <w:spacing w:after="0" w:line="276" w:lineRule="auto"/>
              <w:jc w:val="center"/>
              <w:rPr>
                <w:rFonts w:eastAsia="Arial" w:cs="Arial"/>
              </w:rPr>
            </w:pPr>
            <w:r w:rsidRPr="13C70224">
              <w:rPr>
                <w:rFonts w:eastAsia="Arial" w:cs="Arial"/>
              </w:rPr>
              <w:t>138.7</w:t>
            </w:r>
          </w:p>
        </w:tc>
      </w:tr>
      <w:tr w:rsidR="6D20A9A5" w14:paraId="1C820D18"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426B36" w14:textId="4BB7D803" w:rsidR="6D20A9A5" w:rsidRDefault="4E7BA27D" w:rsidP="13C70224">
            <w:pPr>
              <w:spacing w:after="0" w:line="276" w:lineRule="auto"/>
              <w:jc w:val="center"/>
              <w:rPr>
                <w:rFonts w:eastAsia="Arial" w:cs="Arial"/>
              </w:rPr>
            </w:pPr>
            <w:proofErr w:type="spellStart"/>
            <w:r w:rsidRPr="13C70224">
              <w:rPr>
                <w:rFonts w:eastAsia="Arial" w:cs="Arial"/>
              </w:rPr>
              <w:t>GrdVillers</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87A95D9" w14:textId="6EBCE59A" w:rsidR="6D20A9A5" w:rsidRDefault="4E7BA27D" w:rsidP="13C70224">
            <w:pPr>
              <w:spacing w:after="0" w:line="276" w:lineRule="auto"/>
              <w:jc w:val="center"/>
              <w:rPr>
                <w:rFonts w:eastAsia="Arial" w:cs="Arial"/>
              </w:rPr>
            </w:pPr>
            <w:r w:rsidRPr="13C70224">
              <w:rPr>
                <w:rFonts w:eastAsia="Arial" w:cs="Arial"/>
              </w:rPr>
              <w:t>19</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F6540A9" w14:textId="2CB83CBE" w:rsidR="6D20A9A5" w:rsidRDefault="4E7BA27D" w:rsidP="13C70224">
            <w:pPr>
              <w:spacing w:after="0" w:line="276" w:lineRule="auto"/>
              <w:jc w:val="center"/>
              <w:rPr>
                <w:rFonts w:eastAsia="Arial" w:cs="Arial"/>
              </w:rPr>
            </w:pPr>
            <w:r w:rsidRPr="13C70224">
              <w:rPr>
                <w:rFonts w:eastAsia="Arial" w:cs="Arial"/>
              </w:rPr>
              <w:t>361</w:t>
            </w:r>
          </w:p>
        </w:tc>
      </w:tr>
      <w:tr w:rsidR="6D20A9A5" w14:paraId="17F92A9B"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48C88B" w14:textId="2052CC31" w:rsidR="6D20A9A5" w:rsidRDefault="4E7BA27D" w:rsidP="13C70224">
            <w:pPr>
              <w:spacing w:after="0" w:line="276" w:lineRule="auto"/>
              <w:jc w:val="center"/>
              <w:rPr>
                <w:rFonts w:eastAsia="Arial" w:cs="Arial"/>
              </w:rPr>
            </w:pPr>
            <w:proofErr w:type="spellStart"/>
            <w:r w:rsidRPr="13C70224">
              <w:rPr>
                <w:rFonts w:eastAsia="Arial" w:cs="Arial"/>
              </w:rPr>
              <w:t>PtiVillers</w:t>
            </w:r>
            <w:proofErr w:type="spellEnd"/>
            <w:r w:rsidRPr="13C70224">
              <w:rPr>
                <w:rFonts w:eastAsia="Arial" w:cs="Arial"/>
              </w:rPr>
              <w:t xml:space="preserve">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8B2D348" w14:textId="18A52532" w:rsidR="6D20A9A5" w:rsidRDefault="4E7BA27D" w:rsidP="13C70224">
            <w:pPr>
              <w:spacing w:after="0" w:line="276" w:lineRule="auto"/>
              <w:jc w:val="center"/>
              <w:rPr>
                <w:rFonts w:eastAsia="Arial" w:cs="Arial"/>
              </w:rPr>
            </w:pPr>
            <w:r w:rsidRPr="13C70224">
              <w:rPr>
                <w:rFonts w:eastAsia="Arial" w:cs="Arial"/>
              </w:rPr>
              <w:t>4.5</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BA7D02" w14:textId="2159346B" w:rsidR="6D20A9A5" w:rsidRDefault="4E7BA27D" w:rsidP="13C70224">
            <w:pPr>
              <w:spacing w:after="0" w:line="276" w:lineRule="auto"/>
              <w:jc w:val="center"/>
              <w:rPr>
                <w:rFonts w:eastAsia="Arial" w:cs="Arial"/>
              </w:rPr>
            </w:pPr>
            <w:r w:rsidRPr="13C70224">
              <w:rPr>
                <w:rFonts w:eastAsia="Arial" w:cs="Arial"/>
              </w:rPr>
              <w:t>85.5</w:t>
            </w:r>
          </w:p>
        </w:tc>
      </w:tr>
      <w:tr w:rsidR="6D20A9A5" w14:paraId="2DB5BAF4" w14:textId="77777777" w:rsidTr="13C70224">
        <w:trPr>
          <w:trHeight w:val="255"/>
          <w:jc w:val="center"/>
        </w:trPr>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45286A" w14:textId="02E9DEB9" w:rsidR="6D20A9A5" w:rsidRDefault="4E7BA27D" w:rsidP="13C70224">
            <w:pPr>
              <w:spacing w:after="0" w:line="276" w:lineRule="auto"/>
              <w:jc w:val="center"/>
              <w:rPr>
                <w:rFonts w:eastAsia="Arial" w:cs="Arial"/>
                <w:b/>
                <w:bCs/>
              </w:rPr>
            </w:pPr>
            <w:r w:rsidRPr="13C70224">
              <w:rPr>
                <w:rFonts w:eastAsia="Arial" w:cs="Arial"/>
                <w:b/>
                <w:bCs/>
              </w:rPr>
              <w:t xml:space="preserve">Total : </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17BEF1" w14:textId="0E7C6202" w:rsidR="6D20A9A5" w:rsidRDefault="4E7BA27D" w:rsidP="13C70224">
            <w:pPr>
              <w:spacing w:after="0" w:line="276" w:lineRule="auto"/>
              <w:jc w:val="center"/>
              <w:rPr>
                <w:rFonts w:eastAsia="Arial" w:cs="Arial"/>
                <w:b/>
                <w:bCs/>
              </w:rPr>
            </w:pPr>
            <w:r w:rsidRPr="13C70224">
              <w:rPr>
                <w:rFonts w:eastAsia="Arial" w:cs="Arial"/>
                <w:b/>
                <w:bCs/>
              </w:rPr>
              <w:t>148.2</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78396B" w14:textId="21310DDB" w:rsidR="6D20A9A5" w:rsidRDefault="4E7BA27D" w:rsidP="13C70224">
            <w:pPr>
              <w:spacing w:after="0" w:line="276" w:lineRule="auto"/>
              <w:jc w:val="center"/>
              <w:rPr>
                <w:rFonts w:eastAsia="Arial" w:cs="Arial"/>
                <w:b/>
                <w:bCs/>
              </w:rPr>
            </w:pPr>
            <w:r w:rsidRPr="13C70224">
              <w:rPr>
                <w:rFonts w:eastAsia="Arial" w:cs="Arial"/>
                <w:b/>
                <w:bCs/>
              </w:rPr>
              <w:t>2815.8</w:t>
            </w:r>
          </w:p>
        </w:tc>
      </w:tr>
    </w:tbl>
    <w:p w14:paraId="5B061C00" w14:textId="4E9F50A1" w:rsidR="1BDD9486" w:rsidRDefault="1BDD9486" w:rsidP="13C70224">
      <w:pPr>
        <w:spacing w:before="240" w:after="240" w:line="276" w:lineRule="auto"/>
        <w:rPr>
          <w:rFonts w:eastAsia="Arial" w:cs="Arial"/>
        </w:rPr>
      </w:pPr>
    </w:p>
    <w:p w14:paraId="4A68309F" w14:textId="2C29D485" w:rsidR="1BDD9486" w:rsidRDefault="36870227" w:rsidP="13C70224">
      <w:pPr>
        <w:spacing w:before="240" w:after="240" w:line="276" w:lineRule="auto"/>
        <w:rPr>
          <w:rFonts w:eastAsia="Arial" w:cs="Arial"/>
        </w:rPr>
      </w:pPr>
      <w:r w:rsidRPr="13C70224">
        <w:rPr>
          <w:rFonts w:eastAsia="Arial" w:cs="Arial"/>
        </w:rPr>
        <w:t>La quantité totale de compost nécessaire est estimée à 2 815,8 t pour l’ensemble de la rotation, soit environ 704 t/an.</w:t>
      </w:r>
    </w:p>
    <w:p w14:paraId="7FA13355" w14:textId="7140FF80" w:rsidR="1BDD9486" w:rsidRDefault="1BDD9486" w:rsidP="13C70224">
      <w:pPr>
        <w:spacing w:before="240" w:after="240" w:line="276" w:lineRule="auto"/>
        <w:jc w:val="both"/>
        <w:rPr>
          <w:rFonts w:eastAsia="Arial" w:cs="Arial"/>
        </w:rPr>
      </w:pPr>
    </w:p>
    <w:p w14:paraId="6A73D72A" w14:textId="6E448787" w:rsidR="41EC9E1E" w:rsidRDefault="41EC9E1E" w:rsidP="13C70224">
      <w:pPr>
        <w:pStyle w:val="Titre3"/>
        <w:spacing w:line="276" w:lineRule="auto"/>
        <w:rPr>
          <w:rFonts w:eastAsia="Arial" w:cs="Arial"/>
        </w:rPr>
      </w:pPr>
      <w:r w:rsidRPr="13C70224">
        <w:rPr>
          <w:rFonts w:eastAsia="Arial" w:cs="Arial"/>
        </w:rPr>
        <w:t>Coût d’un épandage</w:t>
      </w:r>
    </w:p>
    <w:p w14:paraId="39FAB420" w14:textId="410E96AF" w:rsidR="3B1A0DB1" w:rsidRDefault="3B1A0DB1" w:rsidP="13C70224">
      <w:pPr>
        <w:spacing w:line="276" w:lineRule="auto"/>
        <w:rPr>
          <w:rFonts w:eastAsia="Arial" w:cs="Arial"/>
        </w:rPr>
      </w:pPr>
      <w:r w:rsidRPr="13C70224">
        <w:rPr>
          <w:rFonts w:eastAsia="Arial" w:cs="Arial"/>
        </w:rPr>
        <w:t>Afin d’évaluer le coût de l’épandage, une attention particulière a été portée au différentiel de coût entre un épandage classique et un épandage avec modulation automatique des doses.</w:t>
      </w:r>
    </w:p>
    <w:p w14:paraId="0961E317" w14:textId="58E9BC2F" w:rsidR="3B1A0DB1" w:rsidRDefault="3B1A0DB1" w:rsidP="13C70224">
      <w:pPr>
        <w:spacing w:line="276" w:lineRule="auto"/>
        <w:rPr>
          <w:rFonts w:eastAsia="Arial" w:cs="Arial"/>
        </w:rPr>
      </w:pPr>
      <w:r w:rsidRPr="13C70224">
        <w:rPr>
          <w:rFonts w:eastAsia="Arial" w:cs="Arial"/>
        </w:rPr>
        <w:t xml:space="preserve">Pour estimer ce différentiel, un devis fourni par un constructeur d’épandeur a été utilisé afin d’identifier le surcoût associé à l’intégration d’un système complet de modulation automatique. Par ailleurs, l’application </w:t>
      </w:r>
      <w:proofErr w:type="spellStart"/>
      <w:r w:rsidRPr="13C70224">
        <w:rPr>
          <w:rFonts w:eastAsia="Arial" w:cs="Arial"/>
        </w:rPr>
        <w:t>Mecacost</w:t>
      </w:r>
      <w:proofErr w:type="spellEnd"/>
      <w:r w:rsidRPr="13C70224">
        <w:rPr>
          <w:rFonts w:eastAsia="Arial" w:cs="Arial"/>
        </w:rPr>
        <w:t>, développée par le CRA-W, a été mobilisée pour estimer les coûts d’utilisation des équipements. Les calculs ont été réalisés pour deux configurations : un épandeur classique à plateaux d’une capacité de 18 à 20 m³, et un épandeur équipé d’un système de modulation automatique dont le prix d’achat a été majoré de 26 000 € HT, conformément au supplément de prix indiqué dans le devis.</w:t>
      </w:r>
    </w:p>
    <w:p w14:paraId="101C6ABB" w14:textId="56C00C9F" w:rsidR="3B1A0DB1" w:rsidRDefault="3B1A0DB1" w:rsidP="13C70224">
      <w:pPr>
        <w:spacing w:line="276" w:lineRule="auto"/>
        <w:rPr>
          <w:rFonts w:eastAsia="Arial" w:cs="Arial"/>
        </w:rPr>
      </w:pPr>
      <w:r w:rsidRPr="13C70224">
        <w:rPr>
          <w:rFonts w:eastAsia="Arial" w:cs="Arial"/>
        </w:rPr>
        <w:t>Pour ces deux configurations, les paramètres proposés par l’application n’ont pas été modifiés. Sur cette base, le coût d’utilisation a été estimé à 2,81 €/t pour l’épandeur classique et à 3,43 €/t pour l’épandeur équipé d’un système de modulation automatique, soit un surcoût de 0,62 €/t pour l’épandage à doses variables.</w:t>
      </w:r>
    </w:p>
    <w:p w14:paraId="2CE7BD6A" w14:textId="0445EFDA" w:rsidR="1F6A8BC2" w:rsidRDefault="1F6A8BC2" w:rsidP="13C70224">
      <w:pPr>
        <w:spacing w:line="276" w:lineRule="auto"/>
        <w:jc w:val="both"/>
        <w:rPr>
          <w:rFonts w:eastAsia="Arial" w:cs="Arial"/>
        </w:rPr>
      </w:pPr>
    </w:p>
    <w:p w14:paraId="3F145E1A" w14:textId="7A87CC8D" w:rsidR="1F337E0F" w:rsidRDefault="1F337E0F" w:rsidP="13C70224">
      <w:pPr>
        <w:pStyle w:val="Titre4"/>
        <w:spacing w:line="276" w:lineRule="auto"/>
        <w:rPr>
          <w:rFonts w:eastAsia="Arial" w:cs="Arial"/>
        </w:rPr>
      </w:pPr>
      <w:r w:rsidRPr="13C70224">
        <w:rPr>
          <w:rFonts w:eastAsia="Arial" w:cs="Arial"/>
        </w:rPr>
        <w:t xml:space="preserve">Récapitulatif des coûts </w:t>
      </w:r>
    </w:p>
    <w:p w14:paraId="13509030" w14:textId="765B3006" w:rsidR="7C0131E3" w:rsidRDefault="7C0131E3" w:rsidP="3BFF6491">
      <w:pPr>
        <w:spacing w:line="276" w:lineRule="auto"/>
        <w:jc w:val="both"/>
        <w:rPr>
          <w:rFonts w:eastAsia="Arial" w:cs="Arial"/>
        </w:rPr>
      </w:pPr>
      <w:r w:rsidRPr="3BFF6491">
        <w:rPr>
          <w:rFonts w:eastAsia="Arial" w:cs="Arial"/>
        </w:rPr>
        <w:t xml:space="preserve">Un tableau récapitulatif de l’ensemble des coûts liés soit à la situation de référence, soit à la situation dans laquelle les intrants sont appliqués à doses variables, est présenté dans le </w:t>
      </w:r>
      <w:r w:rsidR="4AEC5402" w:rsidRPr="3BFF6491">
        <w:rPr>
          <w:rFonts w:eastAsia="Arial" w:cs="Arial"/>
        </w:rPr>
        <w:t>tableau 9.</w:t>
      </w:r>
    </w:p>
    <w:p w14:paraId="79000B20" w14:textId="1A459359" w:rsidR="33A1A9B2" w:rsidRDefault="3D305D70" w:rsidP="3BFF6491">
      <w:pPr>
        <w:spacing w:line="276" w:lineRule="auto"/>
        <w:jc w:val="both"/>
        <w:rPr>
          <w:rFonts w:asciiTheme="minorHAnsi" w:eastAsiaTheme="minorEastAsia" w:hAnsiTheme="minorHAnsi"/>
          <w:i/>
          <w:iCs/>
          <w:color w:val="0E2841" w:themeColor="text2"/>
          <w:sz w:val="18"/>
          <w:szCs w:val="18"/>
        </w:rPr>
      </w:pPr>
      <w:r w:rsidRPr="3BFF6491">
        <w:rPr>
          <w:rFonts w:asciiTheme="minorHAnsi" w:eastAsiaTheme="minorEastAsia" w:hAnsiTheme="minorHAnsi"/>
          <w:i/>
          <w:iCs/>
          <w:color w:val="0E2841" w:themeColor="text2"/>
          <w:sz w:val="18"/>
          <w:szCs w:val="18"/>
        </w:rPr>
        <w:t xml:space="preserve">Tableau </w:t>
      </w:r>
      <w:r w:rsidR="3EE17505" w:rsidRPr="3BFF6491">
        <w:rPr>
          <w:rFonts w:asciiTheme="minorHAnsi" w:eastAsiaTheme="minorEastAsia" w:hAnsiTheme="minorHAnsi"/>
          <w:i/>
          <w:iCs/>
          <w:color w:val="0E2841" w:themeColor="text2"/>
          <w:sz w:val="18"/>
          <w:szCs w:val="18"/>
        </w:rPr>
        <w:t>9</w:t>
      </w:r>
      <w:r w:rsidRPr="3BFF6491">
        <w:rPr>
          <w:rFonts w:asciiTheme="minorHAnsi" w:eastAsiaTheme="minorEastAsia" w:hAnsiTheme="minorHAnsi"/>
          <w:i/>
          <w:iCs/>
          <w:color w:val="0E2841" w:themeColor="text2"/>
          <w:sz w:val="18"/>
          <w:szCs w:val="18"/>
        </w:rPr>
        <w:t>.</w:t>
      </w:r>
      <w:r w:rsidR="3EE17505" w:rsidRPr="3BFF6491">
        <w:rPr>
          <w:rFonts w:asciiTheme="minorHAnsi" w:eastAsiaTheme="minorEastAsia" w:hAnsiTheme="minorHAnsi"/>
          <w:i/>
          <w:iCs/>
          <w:color w:val="0E2841" w:themeColor="text2"/>
          <w:sz w:val="18"/>
          <w:szCs w:val="18"/>
        </w:rPr>
        <w:t xml:space="preserve"> Récapitulatif de l’ensemble des coûts liés à la mise en place d’application variable.</w:t>
      </w:r>
    </w:p>
    <w:tbl>
      <w:tblPr>
        <w:tblW w:w="0" w:type="auto"/>
        <w:tblLook w:val="06A0" w:firstRow="1" w:lastRow="0" w:firstColumn="1" w:lastColumn="0" w:noHBand="1" w:noVBand="1"/>
      </w:tblPr>
      <w:tblGrid>
        <w:gridCol w:w="2037"/>
        <w:gridCol w:w="1444"/>
        <w:gridCol w:w="2788"/>
        <w:gridCol w:w="2749"/>
      </w:tblGrid>
      <w:tr w:rsidR="6D20A9A5" w14:paraId="10319938" w14:textId="77777777" w:rsidTr="13C70224">
        <w:trPr>
          <w:trHeight w:val="255"/>
        </w:trPr>
        <w:tc>
          <w:tcPr>
            <w:tcW w:w="2160" w:type="dxa"/>
            <w:vAlign w:val="center"/>
          </w:tcPr>
          <w:p w14:paraId="3973EF9A" w14:textId="7F8C5DF4" w:rsidR="6D20A9A5" w:rsidRDefault="6D20A9A5" w:rsidP="13C70224">
            <w:pPr>
              <w:spacing w:after="0" w:line="276" w:lineRule="auto"/>
              <w:jc w:val="center"/>
              <w:rPr>
                <w:rFonts w:eastAsia="Arial" w:cs="Arial"/>
              </w:rPr>
            </w:pPr>
          </w:p>
        </w:tc>
        <w:tc>
          <w:tcPr>
            <w:tcW w:w="1500" w:type="dxa"/>
            <w:vAlign w:val="center"/>
          </w:tcPr>
          <w:p w14:paraId="3C7FAAF7" w14:textId="433E9A5D" w:rsidR="6D20A9A5" w:rsidRDefault="6D20A9A5" w:rsidP="13C70224">
            <w:pPr>
              <w:spacing w:after="0" w:line="276" w:lineRule="auto"/>
              <w:jc w:val="center"/>
              <w:rPr>
                <w:rFonts w:eastAsia="Arial" w:cs="Arial"/>
              </w:rPr>
            </w:pP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56B018" w14:textId="103490F3" w:rsidR="6D20A9A5" w:rsidRDefault="4E7BA27D" w:rsidP="13C70224">
            <w:pPr>
              <w:spacing w:after="0" w:line="276" w:lineRule="auto"/>
              <w:jc w:val="center"/>
              <w:rPr>
                <w:rFonts w:eastAsia="Arial" w:cs="Arial"/>
                <w:b/>
                <w:bCs/>
              </w:rPr>
            </w:pPr>
            <w:r w:rsidRPr="13C70224">
              <w:rPr>
                <w:rFonts w:eastAsia="Arial" w:cs="Arial"/>
                <w:b/>
                <w:bCs/>
              </w:rPr>
              <w:t>Référence</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276586F" w14:textId="29EEBFA5" w:rsidR="6D20A9A5" w:rsidRDefault="4E7BA27D" w:rsidP="13C70224">
            <w:pPr>
              <w:spacing w:after="0" w:line="276" w:lineRule="auto"/>
              <w:jc w:val="center"/>
              <w:rPr>
                <w:rFonts w:eastAsia="Arial" w:cs="Arial"/>
                <w:b/>
                <w:bCs/>
              </w:rPr>
            </w:pPr>
            <w:r w:rsidRPr="13C70224">
              <w:rPr>
                <w:rFonts w:eastAsia="Arial" w:cs="Arial"/>
                <w:b/>
                <w:bCs/>
              </w:rPr>
              <w:t>Application variable</w:t>
            </w:r>
          </w:p>
        </w:tc>
      </w:tr>
      <w:tr w:rsidR="6D20A9A5" w14:paraId="546988A2" w14:textId="77777777" w:rsidTr="13C70224">
        <w:trPr>
          <w:trHeight w:val="255"/>
        </w:trPr>
        <w:tc>
          <w:tcPr>
            <w:tcW w:w="3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3762CC" w14:textId="7D838CAC" w:rsidR="6D20A9A5" w:rsidRDefault="4E7BA27D" w:rsidP="13C70224">
            <w:pPr>
              <w:spacing w:after="0" w:line="276" w:lineRule="auto"/>
              <w:jc w:val="center"/>
              <w:rPr>
                <w:rFonts w:eastAsia="Arial" w:cs="Arial"/>
              </w:rPr>
            </w:pPr>
            <w:r w:rsidRPr="13C70224">
              <w:rPr>
                <w:rFonts w:eastAsia="Arial" w:cs="Arial"/>
              </w:rPr>
              <w:t xml:space="preserve">Mesure des propriétés du sol </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C1CC46" w14:textId="0959226B" w:rsidR="6D20A9A5" w:rsidRDefault="4E7BA27D" w:rsidP="13C70224">
            <w:pPr>
              <w:spacing w:after="0" w:line="276" w:lineRule="auto"/>
              <w:jc w:val="center"/>
              <w:rPr>
                <w:rFonts w:eastAsia="Arial" w:cs="Arial"/>
              </w:rPr>
            </w:pPr>
            <w:r w:rsidRPr="13C70224">
              <w:rPr>
                <w:rFonts w:eastAsia="Arial" w:cs="Arial"/>
              </w:rPr>
              <w:t>202.5 €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7DCF71" w14:textId="2066531A" w:rsidR="6D20A9A5" w:rsidRDefault="4E7BA27D" w:rsidP="13C70224">
            <w:pPr>
              <w:spacing w:after="0" w:line="276" w:lineRule="auto"/>
              <w:jc w:val="center"/>
              <w:rPr>
                <w:rFonts w:eastAsia="Arial" w:cs="Arial"/>
              </w:rPr>
            </w:pPr>
            <w:r w:rsidRPr="13C70224">
              <w:rPr>
                <w:rFonts w:eastAsia="Arial" w:cs="Arial"/>
              </w:rPr>
              <w:t>5692.5 € HT/an</w:t>
            </w:r>
          </w:p>
        </w:tc>
      </w:tr>
      <w:tr w:rsidR="6D20A9A5" w14:paraId="1849CBF4" w14:textId="77777777" w:rsidTr="13C70224">
        <w:trPr>
          <w:trHeight w:val="510"/>
        </w:trPr>
        <w:tc>
          <w:tcPr>
            <w:tcW w:w="216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78484B" w14:textId="469DCEAD" w:rsidR="6D20A9A5" w:rsidRDefault="4E7BA27D" w:rsidP="13C70224">
            <w:pPr>
              <w:spacing w:after="0" w:line="276" w:lineRule="auto"/>
              <w:jc w:val="center"/>
              <w:rPr>
                <w:rFonts w:eastAsia="Arial" w:cs="Arial"/>
              </w:rPr>
            </w:pPr>
            <w:r w:rsidRPr="13C70224">
              <w:rPr>
                <w:rFonts w:eastAsia="Arial" w:cs="Arial"/>
              </w:rPr>
              <w:t>Coût des intrants</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955C0B" w14:textId="5AA11041" w:rsidR="6D20A9A5" w:rsidRDefault="4E7BA27D" w:rsidP="13C70224">
            <w:pPr>
              <w:spacing w:after="0" w:line="276" w:lineRule="auto"/>
              <w:jc w:val="center"/>
              <w:rPr>
                <w:rFonts w:eastAsia="Arial" w:cs="Arial"/>
              </w:rPr>
            </w:pPr>
            <w:r w:rsidRPr="13C70224">
              <w:rPr>
                <w:rFonts w:eastAsia="Arial" w:cs="Arial"/>
              </w:rPr>
              <w:t>Écume</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DE328F" w14:textId="1F7AAFDD" w:rsidR="6D20A9A5" w:rsidRDefault="4E7BA27D" w:rsidP="13C70224">
            <w:pPr>
              <w:spacing w:after="0" w:line="276" w:lineRule="auto"/>
              <w:jc w:val="center"/>
              <w:rPr>
                <w:rFonts w:eastAsia="Arial" w:cs="Arial"/>
              </w:rPr>
            </w:pPr>
            <w:r w:rsidRPr="13C70224">
              <w:rPr>
                <w:rFonts w:eastAsia="Arial" w:cs="Arial"/>
              </w:rPr>
              <w:t>1179.7€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CB8E33" w14:textId="150F0293" w:rsidR="6D20A9A5" w:rsidRDefault="4E7BA27D" w:rsidP="13C70224">
            <w:pPr>
              <w:spacing w:after="0" w:line="276" w:lineRule="auto"/>
              <w:jc w:val="center"/>
              <w:rPr>
                <w:rFonts w:eastAsia="Arial" w:cs="Arial"/>
              </w:rPr>
            </w:pPr>
            <w:r w:rsidRPr="13C70224">
              <w:rPr>
                <w:rFonts w:eastAsia="Arial" w:cs="Arial"/>
              </w:rPr>
              <w:t>1179.7€ HT/an</w:t>
            </w:r>
          </w:p>
        </w:tc>
      </w:tr>
      <w:tr w:rsidR="6D20A9A5" w14:paraId="67633542" w14:textId="77777777" w:rsidTr="13C70224">
        <w:trPr>
          <w:trHeight w:val="300"/>
        </w:trPr>
        <w:tc>
          <w:tcPr>
            <w:tcW w:w="2160" w:type="dxa"/>
            <w:vMerge/>
            <w:vAlign w:val="center"/>
          </w:tcPr>
          <w:p w14:paraId="04E0013B" w14:textId="77777777" w:rsidR="00954F1F" w:rsidRDefault="00954F1F"/>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400CA0" w14:textId="19B4B628" w:rsidR="6D20A9A5" w:rsidRDefault="4E7BA27D" w:rsidP="13C70224">
            <w:pPr>
              <w:spacing w:after="0" w:line="276" w:lineRule="auto"/>
              <w:jc w:val="center"/>
              <w:rPr>
                <w:rFonts w:eastAsia="Arial" w:cs="Arial"/>
              </w:rPr>
            </w:pPr>
            <w:r w:rsidRPr="13C70224">
              <w:rPr>
                <w:rFonts w:eastAsia="Arial" w:cs="Arial"/>
              </w:rPr>
              <w:t>Compost</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B9A7C25" w14:textId="53A63F18" w:rsidR="6D20A9A5" w:rsidRDefault="4E7BA27D" w:rsidP="13C70224">
            <w:pPr>
              <w:spacing w:after="0" w:line="276" w:lineRule="auto"/>
              <w:jc w:val="center"/>
              <w:rPr>
                <w:rFonts w:eastAsia="Arial" w:cs="Arial"/>
              </w:rPr>
            </w:pPr>
            <w:r w:rsidRPr="13C70224">
              <w:rPr>
                <w:rFonts w:eastAsia="Arial" w:cs="Arial"/>
              </w:rPr>
              <w:t>14784€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94062B" w14:textId="6C2DB875" w:rsidR="6D20A9A5" w:rsidRDefault="4E7BA27D" w:rsidP="13C70224">
            <w:pPr>
              <w:spacing w:after="0" w:line="276" w:lineRule="auto"/>
              <w:jc w:val="center"/>
              <w:rPr>
                <w:rFonts w:eastAsia="Arial" w:cs="Arial"/>
              </w:rPr>
            </w:pPr>
            <w:r w:rsidRPr="13C70224">
              <w:rPr>
                <w:rFonts w:eastAsia="Arial" w:cs="Arial"/>
              </w:rPr>
              <w:t>14784€ HT/an</w:t>
            </w:r>
          </w:p>
        </w:tc>
      </w:tr>
      <w:tr w:rsidR="6D20A9A5" w14:paraId="6D942E41" w14:textId="77777777" w:rsidTr="13C70224">
        <w:trPr>
          <w:trHeight w:val="510"/>
        </w:trPr>
        <w:tc>
          <w:tcPr>
            <w:tcW w:w="216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CB3612B" w14:textId="796EBE41" w:rsidR="6D20A9A5" w:rsidRDefault="4E7BA27D" w:rsidP="13C70224">
            <w:pPr>
              <w:spacing w:after="0" w:line="276" w:lineRule="auto"/>
              <w:jc w:val="center"/>
              <w:rPr>
                <w:rFonts w:eastAsia="Arial" w:cs="Arial"/>
              </w:rPr>
            </w:pPr>
            <w:r w:rsidRPr="13C70224">
              <w:rPr>
                <w:rFonts w:eastAsia="Arial" w:cs="Arial"/>
              </w:rPr>
              <w:t xml:space="preserve">Coût d’un épandage </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E3C52A2" w14:textId="038DED3B" w:rsidR="6D20A9A5" w:rsidRDefault="4E7BA27D" w:rsidP="13C70224">
            <w:pPr>
              <w:spacing w:after="0" w:line="276" w:lineRule="auto"/>
              <w:jc w:val="center"/>
              <w:rPr>
                <w:rFonts w:eastAsia="Arial" w:cs="Arial"/>
              </w:rPr>
            </w:pPr>
            <w:r w:rsidRPr="13C70224">
              <w:rPr>
                <w:rFonts w:eastAsia="Arial" w:cs="Arial"/>
              </w:rPr>
              <w:t>Écume</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110B473" w14:textId="2E45AE19" w:rsidR="6D20A9A5" w:rsidRDefault="4E7BA27D" w:rsidP="13C70224">
            <w:pPr>
              <w:spacing w:after="0" w:line="276" w:lineRule="auto"/>
              <w:jc w:val="center"/>
              <w:rPr>
                <w:rFonts w:eastAsia="Arial" w:cs="Arial"/>
              </w:rPr>
            </w:pPr>
            <w:r w:rsidRPr="13C70224">
              <w:rPr>
                <w:rFonts w:eastAsia="Arial" w:cs="Arial"/>
              </w:rPr>
              <w:t>343.5 €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90D72AC" w14:textId="5FDD57A0" w:rsidR="6D20A9A5" w:rsidRDefault="4E7BA27D" w:rsidP="13C70224">
            <w:pPr>
              <w:spacing w:after="0" w:line="276" w:lineRule="auto"/>
              <w:jc w:val="center"/>
              <w:rPr>
                <w:rFonts w:eastAsia="Arial" w:cs="Arial"/>
              </w:rPr>
            </w:pPr>
            <w:r w:rsidRPr="13C70224">
              <w:rPr>
                <w:rFonts w:eastAsia="Arial" w:cs="Arial"/>
              </w:rPr>
              <w:t>419.3 € HT/an</w:t>
            </w:r>
          </w:p>
        </w:tc>
      </w:tr>
      <w:tr w:rsidR="6D20A9A5" w14:paraId="5CB389C8" w14:textId="77777777" w:rsidTr="13C70224">
        <w:trPr>
          <w:trHeight w:val="300"/>
        </w:trPr>
        <w:tc>
          <w:tcPr>
            <w:tcW w:w="2160" w:type="dxa"/>
            <w:vMerge/>
            <w:vAlign w:val="center"/>
          </w:tcPr>
          <w:p w14:paraId="30AC39EF" w14:textId="77777777" w:rsidR="00954F1F" w:rsidRDefault="00954F1F"/>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EF1B0B" w14:textId="618E6DB2" w:rsidR="6D20A9A5" w:rsidRDefault="4E7BA27D" w:rsidP="13C70224">
            <w:pPr>
              <w:spacing w:after="0" w:line="276" w:lineRule="auto"/>
              <w:jc w:val="center"/>
              <w:rPr>
                <w:rFonts w:eastAsia="Arial" w:cs="Arial"/>
              </w:rPr>
            </w:pPr>
            <w:r w:rsidRPr="13C70224">
              <w:rPr>
                <w:rFonts w:eastAsia="Arial" w:cs="Arial"/>
              </w:rPr>
              <w:t>Compost</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9C7D45" w14:textId="7AB8EB78" w:rsidR="6D20A9A5" w:rsidRDefault="4E7BA27D" w:rsidP="13C70224">
            <w:pPr>
              <w:spacing w:after="0" w:line="276" w:lineRule="auto"/>
              <w:jc w:val="center"/>
              <w:rPr>
                <w:rFonts w:eastAsia="Arial" w:cs="Arial"/>
              </w:rPr>
            </w:pPr>
            <w:r w:rsidRPr="13C70224">
              <w:rPr>
                <w:rFonts w:eastAsia="Arial" w:cs="Arial"/>
              </w:rPr>
              <w:t>1978.24€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CEE541" w14:textId="23C71FC5" w:rsidR="6D20A9A5" w:rsidRDefault="4E7BA27D" w:rsidP="13C70224">
            <w:pPr>
              <w:spacing w:after="0" w:line="276" w:lineRule="auto"/>
              <w:jc w:val="center"/>
              <w:rPr>
                <w:rFonts w:eastAsia="Arial" w:cs="Arial"/>
              </w:rPr>
            </w:pPr>
            <w:r w:rsidRPr="13C70224">
              <w:rPr>
                <w:rFonts w:eastAsia="Arial" w:cs="Arial"/>
              </w:rPr>
              <w:t>2414.72€ HT/an</w:t>
            </w:r>
          </w:p>
        </w:tc>
      </w:tr>
      <w:tr w:rsidR="6D20A9A5" w14:paraId="6152D504" w14:textId="77777777" w:rsidTr="13C70224">
        <w:trPr>
          <w:trHeight w:val="255"/>
        </w:trPr>
        <w:tc>
          <w:tcPr>
            <w:tcW w:w="216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4701E2" w14:textId="52CFA966" w:rsidR="6D20A9A5" w:rsidRDefault="6D20A9A5" w:rsidP="13C70224">
            <w:pPr>
              <w:spacing w:after="0" w:line="276" w:lineRule="auto"/>
              <w:jc w:val="center"/>
              <w:rPr>
                <w:rFonts w:eastAsia="Arial" w:cs="Arial"/>
              </w:rPr>
            </w:pP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468D6F" w14:textId="3EAFEB3E" w:rsidR="6D20A9A5" w:rsidRDefault="4E7BA27D" w:rsidP="13C70224">
            <w:pPr>
              <w:spacing w:after="0" w:line="276" w:lineRule="auto"/>
              <w:jc w:val="center"/>
              <w:rPr>
                <w:rFonts w:eastAsia="Arial" w:cs="Arial"/>
                <w:b/>
                <w:bCs/>
              </w:rPr>
            </w:pPr>
            <w:r w:rsidRPr="13C70224">
              <w:rPr>
                <w:rFonts w:eastAsia="Arial" w:cs="Arial"/>
                <w:b/>
                <w:bCs/>
              </w:rPr>
              <w:t>Total</w:t>
            </w:r>
          </w:p>
        </w:tc>
        <w:tc>
          <w:tcPr>
            <w:tcW w:w="30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47333B9" w14:textId="7661193D" w:rsidR="6D20A9A5" w:rsidRDefault="4E7BA27D" w:rsidP="13C70224">
            <w:pPr>
              <w:spacing w:after="0" w:line="276" w:lineRule="auto"/>
              <w:jc w:val="center"/>
              <w:rPr>
                <w:rFonts w:eastAsia="Arial" w:cs="Arial"/>
                <w:b/>
                <w:bCs/>
              </w:rPr>
            </w:pPr>
            <w:r w:rsidRPr="13C70224">
              <w:rPr>
                <w:rFonts w:eastAsia="Arial" w:cs="Arial"/>
                <w:b/>
                <w:bCs/>
              </w:rPr>
              <w:t>18487.94 € HT/an</w:t>
            </w:r>
          </w:p>
        </w:tc>
        <w:tc>
          <w:tcPr>
            <w:tcW w:w="29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6EBE99" w14:textId="3CB105AA" w:rsidR="6D20A9A5" w:rsidRDefault="4E7BA27D" w:rsidP="13C70224">
            <w:pPr>
              <w:spacing w:after="0" w:line="276" w:lineRule="auto"/>
              <w:jc w:val="center"/>
              <w:rPr>
                <w:rFonts w:eastAsia="Arial" w:cs="Arial"/>
                <w:b/>
                <w:bCs/>
              </w:rPr>
            </w:pPr>
            <w:r w:rsidRPr="13C70224">
              <w:rPr>
                <w:rFonts w:eastAsia="Arial" w:cs="Arial"/>
                <w:b/>
                <w:bCs/>
              </w:rPr>
              <w:t>24490.22 € HT/an</w:t>
            </w:r>
          </w:p>
        </w:tc>
      </w:tr>
    </w:tbl>
    <w:p w14:paraId="4E0DDBC6" w14:textId="30DD3340" w:rsidR="6D20A9A5" w:rsidRDefault="6D20A9A5" w:rsidP="13C70224">
      <w:pPr>
        <w:spacing w:line="276" w:lineRule="auto"/>
        <w:rPr>
          <w:rFonts w:eastAsia="Arial" w:cs="Arial"/>
        </w:rPr>
      </w:pPr>
    </w:p>
    <w:p w14:paraId="750626D9" w14:textId="54F14C44" w:rsidR="36BB4918" w:rsidRDefault="36BB4918" w:rsidP="13C70224">
      <w:pPr>
        <w:spacing w:line="276" w:lineRule="auto"/>
        <w:rPr>
          <w:rFonts w:eastAsia="Arial" w:cs="Arial"/>
        </w:rPr>
      </w:pPr>
      <w:r w:rsidRPr="13C70224">
        <w:rPr>
          <w:rFonts w:eastAsia="Arial" w:cs="Arial"/>
        </w:rPr>
        <w:t>Une différence totale de 6 002 € HT/an est observée entre les deux situations</w:t>
      </w:r>
      <w:r w:rsidR="772CCCD3" w:rsidRPr="13C70224">
        <w:rPr>
          <w:rFonts w:eastAsia="Arial" w:cs="Arial"/>
        </w:rPr>
        <w:t xml:space="preserve"> soit une différence de 40.5 € HT/ha/an.</w:t>
      </w:r>
    </w:p>
    <w:p w14:paraId="51E2024D" w14:textId="069B74E0" w:rsidR="6D20A9A5" w:rsidRDefault="6D20A9A5" w:rsidP="13C70224">
      <w:pPr>
        <w:spacing w:line="276" w:lineRule="auto"/>
        <w:rPr>
          <w:rFonts w:eastAsia="Arial" w:cs="Arial"/>
        </w:rPr>
      </w:pPr>
    </w:p>
    <w:p w14:paraId="2B5F8A06" w14:textId="03619D96" w:rsidR="30D93C8E" w:rsidRDefault="2C63599B" w:rsidP="13C70224">
      <w:pPr>
        <w:pStyle w:val="Titre2"/>
        <w:spacing w:line="276" w:lineRule="auto"/>
        <w:jc w:val="both"/>
        <w:rPr>
          <w:rFonts w:ascii="Arial" w:eastAsia="Arial" w:hAnsi="Arial" w:cs="Arial"/>
          <w:sz w:val="20"/>
          <w:szCs w:val="20"/>
        </w:rPr>
      </w:pPr>
      <w:bookmarkStart w:id="28" w:name="_Toc561902137"/>
      <w:r w:rsidRPr="3BFF6491">
        <w:rPr>
          <w:rFonts w:ascii="Arial" w:eastAsia="Arial" w:hAnsi="Arial" w:cs="Arial"/>
        </w:rPr>
        <w:lastRenderedPageBreak/>
        <w:t>Évaluation des bénéfices</w:t>
      </w:r>
      <w:bookmarkEnd w:id="28"/>
    </w:p>
    <w:p w14:paraId="25E0A7DC" w14:textId="55BC83C9" w:rsidR="2C313A07" w:rsidRDefault="2C313A07" w:rsidP="13C70224">
      <w:pPr>
        <w:spacing w:before="240" w:after="240" w:line="276" w:lineRule="auto"/>
        <w:jc w:val="both"/>
        <w:rPr>
          <w:rFonts w:eastAsia="Arial" w:cs="Arial"/>
        </w:rPr>
      </w:pPr>
      <w:r w:rsidRPr="6D20C1D8">
        <w:rPr>
          <w:rFonts w:eastAsia="Arial" w:cs="Arial"/>
        </w:rPr>
        <w:t xml:space="preserve">Afin d’estimer les bénéfices potentiels de la mise en place d’une modulation, plusieurs scénarios ont été envisagés et leurs effets sur le rendement ont été évalués. Pour ce faire, les modèles explicatifs développés et présentés dans le rapport « Mesurer et expliquer l’hétérogénéité intra-parcellaire du rendement » ont été utilisés. Ces modèles reposent sur des </w:t>
      </w:r>
      <w:proofErr w:type="spellStart"/>
      <w:r w:rsidRPr="6D20C1D8">
        <w:rPr>
          <w:rFonts w:eastAsia="Arial" w:cs="Arial"/>
        </w:rPr>
        <w:t>boosted</w:t>
      </w:r>
      <w:proofErr w:type="spellEnd"/>
      <w:r w:rsidRPr="6D20C1D8">
        <w:rPr>
          <w:rFonts w:eastAsia="Arial" w:cs="Arial"/>
        </w:rPr>
        <w:t xml:space="preserve"> </w:t>
      </w:r>
      <w:proofErr w:type="spellStart"/>
      <w:r w:rsidRPr="6D20C1D8">
        <w:rPr>
          <w:rFonts w:eastAsia="Arial" w:cs="Arial"/>
        </w:rPr>
        <w:t>regression</w:t>
      </w:r>
      <w:proofErr w:type="spellEnd"/>
      <w:r w:rsidRPr="6D20C1D8">
        <w:rPr>
          <w:rFonts w:eastAsia="Arial" w:cs="Arial"/>
        </w:rPr>
        <w:t xml:space="preserve"> </w:t>
      </w:r>
      <w:proofErr w:type="spellStart"/>
      <w:r w:rsidRPr="6D20C1D8">
        <w:rPr>
          <w:rFonts w:eastAsia="Arial" w:cs="Arial"/>
        </w:rPr>
        <w:t>trees</w:t>
      </w:r>
      <w:proofErr w:type="spellEnd"/>
      <w:r w:rsidRPr="6D20C1D8">
        <w:rPr>
          <w:rFonts w:eastAsia="Arial" w:cs="Arial"/>
        </w:rPr>
        <w:t xml:space="preserve"> (BRT) entraînés pour prédire le rendement d’une parcelle (t/ha) à partir de plusieurs variables explicatives, dont notamment le pH et le ratio COT/argile. Des versions théoriques des couches de pH et du ratio COT/argile ont été créées, permettant de simuler des prédictions de rendement associées aux différents scénarios considérés. Seuls les modèles les plus robustes ont été conservés pour cette analyse (6 moissons de froment et 2 moissons de maïs).</w:t>
      </w:r>
    </w:p>
    <w:p w14:paraId="7AF40ED3" w14:textId="179C3DC4" w:rsidR="2C313A07" w:rsidRDefault="2C313A07" w:rsidP="13C70224">
      <w:pPr>
        <w:spacing w:before="240" w:after="240" w:line="276" w:lineRule="auto"/>
        <w:jc w:val="both"/>
        <w:rPr>
          <w:rFonts w:eastAsia="Arial" w:cs="Arial"/>
        </w:rPr>
      </w:pPr>
      <w:r w:rsidRPr="13C70224">
        <w:rPr>
          <w:rFonts w:eastAsia="Arial" w:cs="Arial"/>
        </w:rPr>
        <w:t>L’analyse s’est concentrée sur le froment, car il s’agit de la culture pour laquelle le plus grand nombre de données était disponible. De plus, il est difficile de comparer directement les résultats de modèles entre cultures différentes, qui n’ont pas les mêmes exigences en termes de pH et de fertilisation, ce qui pourrait biaiser l’interprétation des simulations.</w:t>
      </w:r>
    </w:p>
    <w:p w14:paraId="64199E61" w14:textId="2BEEE130" w:rsidR="6D20A9A5" w:rsidRDefault="6D20A9A5" w:rsidP="13C70224">
      <w:pPr>
        <w:spacing w:before="240" w:after="240" w:line="276" w:lineRule="auto"/>
        <w:jc w:val="both"/>
        <w:rPr>
          <w:rFonts w:eastAsia="Arial" w:cs="Arial"/>
        </w:rPr>
      </w:pPr>
    </w:p>
    <w:p w14:paraId="0C933875" w14:textId="162BD920" w:rsidR="6D20A9A5" w:rsidRDefault="1FB53F4A" w:rsidP="13C70224">
      <w:pPr>
        <w:pStyle w:val="Titre3"/>
        <w:spacing w:line="276" w:lineRule="auto"/>
        <w:jc w:val="both"/>
        <w:rPr>
          <w:rFonts w:eastAsia="Arial" w:cs="Arial"/>
          <w:sz w:val="20"/>
          <w:szCs w:val="20"/>
        </w:rPr>
      </w:pPr>
      <w:r w:rsidRPr="13C70224">
        <w:rPr>
          <w:rFonts w:eastAsia="Arial" w:cs="Arial"/>
        </w:rPr>
        <w:t>Scénario</w:t>
      </w:r>
      <w:r w:rsidR="2A083211" w:rsidRPr="13C70224">
        <w:rPr>
          <w:rFonts w:eastAsia="Arial" w:cs="Arial"/>
        </w:rPr>
        <w:t>s</w:t>
      </w:r>
      <w:r w:rsidRPr="13C70224">
        <w:rPr>
          <w:rFonts w:eastAsia="Arial" w:cs="Arial"/>
        </w:rPr>
        <w:t xml:space="preserve"> </w:t>
      </w:r>
    </w:p>
    <w:p w14:paraId="03350F41" w14:textId="4C91BA02" w:rsidR="7E88AD96" w:rsidRDefault="7E88AD96" w:rsidP="13C70224">
      <w:pPr>
        <w:spacing w:line="276" w:lineRule="auto"/>
        <w:rPr>
          <w:rFonts w:eastAsia="Arial" w:cs="Arial"/>
        </w:rPr>
      </w:pPr>
      <w:r w:rsidRPr="6D20C1D8">
        <w:rPr>
          <w:rFonts w:eastAsia="Arial" w:cs="Arial"/>
        </w:rPr>
        <w:t>Les différents scénarios testés sont détaillés dans « Mesurer et expliquer l’hétérogénéité intra-parcellaire du rendement - Simuler les variations du rendement ».</w:t>
      </w:r>
    </w:p>
    <w:p w14:paraId="1F8B0B8A" w14:textId="0EE8E3C2" w:rsidR="7CF54658" w:rsidRDefault="7CF54658" w:rsidP="13C70224">
      <w:pPr>
        <w:spacing w:line="276" w:lineRule="auto"/>
        <w:rPr>
          <w:rFonts w:eastAsia="Arial" w:cs="Arial"/>
          <w:szCs w:val="20"/>
        </w:rPr>
      </w:pPr>
      <w:r w:rsidRPr="6D20C1D8">
        <w:rPr>
          <w:rFonts w:eastAsia="Arial" w:cs="Arial"/>
          <w:szCs w:val="20"/>
        </w:rPr>
        <w:t>En bref, d</w:t>
      </w:r>
      <w:r w:rsidR="7E88AD96" w:rsidRPr="6D20C1D8">
        <w:rPr>
          <w:rFonts w:eastAsia="Arial" w:cs="Arial"/>
          <w:szCs w:val="20"/>
        </w:rPr>
        <w:t>eux campagnes d’analyses de sol ont permis d’évaluer l’effet d’un</w:t>
      </w:r>
      <w:r w:rsidR="2CA79FC6" w:rsidRPr="6D20C1D8">
        <w:rPr>
          <w:rFonts w:eastAsia="Arial" w:cs="Arial"/>
          <w:szCs w:val="20"/>
        </w:rPr>
        <w:t xml:space="preserve"> d’application variables </w:t>
      </w:r>
      <w:r w:rsidR="7E88AD96" w:rsidRPr="6D20C1D8">
        <w:rPr>
          <w:rFonts w:eastAsia="Arial" w:cs="Arial"/>
          <w:szCs w:val="20"/>
        </w:rPr>
        <w:t xml:space="preserve">des intrants sur le pH et le ratio COT/argile. </w:t>
      </w:r>
      <w:r w:rsidR="298260EC" w:rsidRPr="6D20C1D8">
        <w:rPr>
          <w:rFonts w:eastAsia="Arial" w:cs="Arial"/>
          <w:szCs w:val="20"/>
        </w:rPr>
        <w:t>L</w:t>
      </w:r>
      <w:r w:rsidR="7E88AD96" w:rsidRPr="6D20C1D8">
        <w:rPr>
          <w:rFonts w:eastAsia="Arial" w:cs="Arial"/>
          <w:szCs w:val="20"/>
        </w:rPr>
        <w:t>e pH moyen a augmenté et sa variabilité spatiale a diminué, tandis que le ratio COT/argile a progressé de 5 à 7 % selon les zones</w:t>
      </w:r>
      <w:r w:rsidR="477E9253" w:rsidRPr="6D20C1D8">
        <w:rPr>
          <w:rFonts w:eastAsia="Arial" w:cs="Arial"/>
          <w:szCs w:val="20"/>
        </w:rPr>
        <w:t xml:space="preserve"> considérées</w:t>
      </w:r>
      <w:r w:rsidR="7E88AD96" w:rsidRPr="6D20C1D8">
        <w:rPr>
          <w:rFonts w:eastAsia="Arial" w:cs="Arial"/>
          <w:szCs w:val="20"/>
        </w:rPr>
        <w:t>. De nouvelles cartes de pH et de ratio COT/argile ont été générées pour simuler ces évolutions, puis utilisées pour prédire les rendements dans quatre scénarios : sans modification, modification du pH, amélioration du ratio COT/argile, et combinaison des deux. Les rendements de chaque scénario ont été comparés à la situation de référence afin d’estimer l’effet relatif de la modulation sur la production.</w:t>
      </w:r>
    </w:p>
    <w:p w14:paraId="64C17AE5" w14:textId="0E26C6B6" w:rsidR="6D20A9A5" w:rsidRDefault="6D20A9A5" w:rsidP="13C70224">
      <w:pPr>
        <w:spacing w:line="276" w:lineRule="auto"/>
        <w:rPr>
          <w:rFonts w:eastAsia="Arial" w:cs="Arial"/>
        </w:rPr>
      </w:pPr>
    </w:p>
    <w:p w14:paraId="0D6CACCD" w14:textId="0F90FE81" w:rsidR="30D93C8E" w:rsidRDefault="19329FDB" w:rsidP="13C70224">
      <w:pPr>
        <w:pStyle w:val="Titre3"/>
        <w:spacing w:line="276" w:lineRule="auto"/>
        <w:jc w:val="both"/>
        <w:rPr>
          <w:rFonts w:eastAsia="Arial" w:cs="Arial"/>
          <w:sz w:val="20"/>
          <w:szCs w:val="20"/>
        </w:rPr>
      </w:pPr>
      <w:r w:rsidRPr="13C70224">
        <w:rPr>
          <w:rFonts w:eastAsia="Arial" w:cs="Arial"/>
        </w:rPr>
        <w:t xml:space="preserve">Prix du Froment d’hiver sur la période du projet : </w:t>
      </w:r>
    </w:p>
    <w:p w14:paraId="2B5DE543" w14:textId="69E822ED" w:rsidR="30D93C8E" w:rsidRDefault="73A0DDC1" w:rsidP="13C70224">
      <w:pPr>
        <w:spacing w:after="240" w:line="276" w:lineRule="auto"/>
        <w:jc w:val="both"/>
        <w:rPr>
          <w:rFonts w:eastAsia="Arial" w:cs="Arial"/>
        </w:rPr>
      </w:pPr>
      <w:r w:rsidRPr="13C70224">
        <w:rPr>
          <w:rFonts w:eastAsia="Arial" w:cs="Arial"/>
        </w:rPr>
        <w:t xml:space="preserve">Les séries de prix du blé utilisées pour le blé conventionnel proviennent de FAOSTAT (Producer </w:t>
      </w:r>
      <w:proofErr w:type="spellStart"/>
      <w:r w:rsidRPr="13C70224">
        <w:rPr>
          <w:rFonts w:eastAsia="Arial" w:cs="Arial"/>
        </w:rPr>
        <w:t>Prices</w:t>
      </w:r>
      <w:proofErr w:type="spellEnd"/>
      <w:r w:rsidRPr="13C70224">
        <w:rPr>
          <w:rFonts w:eastAsia="Arial" w:cs="Arial"/>
        </w:rPr>
        <w:t>). Elles correspondent aux prix moyens observés en Belgique et reflètent majoritairement les cotations de marché pour le blé conventionnel standard. Les prix des mois d’août, septembre et octobre ont été extraits pour les années 2022 à 2024, puis moyennés afin d’obtenir un prix annuel. Pour 2025, les prix n’étant pas encore disponibles, une moyenne des valeurs 2023 et 2024 a été utilisée pour estimer le prix de cette année.</w:t>
      </w:r>
    </w:p>
    <w:p w14:paraId="6C61E5AB" w14:textId="6D636F72" w:rsidR="30D93C8E" w:rsidRDefault="1924663A" w:rsidP="13C70224">
      <w:pPr>
        <w:spacing w:before="240" w:after="240" w:line="276" w:lineRule="auto"/>
        <w:jc w:val="both"/>
        <w:rPr>
          <w:rFonts w:eastAsia="Arial" w:cs="Arial"/>
        </w:rPr>
      </w:pPr>
      <w:r w:rsidRPr="3BFF6491">
        <w:rPr>
          <w:rFonts w:eastAsia="Arial" w:cs="Arial"/>
        </w:rPr>
        <w:t>Pour le blé biologique</w:t>
      </w:r>
      <w:r w:rsidR="5276F03B" w:rsidRPr="3BFF6491">
        <w:rPr>
          <w:rFonts w:eastAsia="Arial" w:cs="Arial"/>
        </w:rPr>
        <w:t xml:space="preserve"> fourrager</w:t>
      </w:r>
      <w:r w:rsidRPr="3BFF6491">
        <w:rPr>
          <w:rFonts w:eastAsia="Arial" w:cs="Arial"/>
        </w:rPr>
        <w:t xml:space="preserve">, les données de la mercuriale de </w:t>
      </w:r>
      <w:proofErr w:type="spellStart"/>
      <w:r w:rsidRPr="3BFF6491">
        <w:rPr>
          <w:rFonts w:eastAsia="Arial" w:cs="Arial"/>
        </w:rPr>
        <w:t>Biowallonie</w:t>
      </w:r>
      <w:proofErr w:type="spellEnd"/>
      <w:r w:rsidRPr="3BFF6491">
        <w:rPr>
          <w:rFonts w:eastAsia="Arial" w:cs="Arial"/>
        </w:rPr>
        <w:t xml:space="preserve"> ont été utilisées. L’ensemble des prix et des sources exploitées pour les deux méthodes est présenté dans le </w:t>
      </w:r>
      <w:r w:rsidR="2D16FC40" w:rsidRPr="3BFF6491">
        <w:rPr>
          <w:rFonts w:eastAsia="Arial" w:cs="Arial"/>
        </w:rPr>
        <w:t>tableau 10</w:t>
      </w:r>
      <w:r w:rsidRPr="3BFF6491">
        <w:rPr>
          <w:rFonts w:eastAsia="Arial" w:cs="Arial"/>
        </w:rPr>
        <w:t>.</w:t>
      </w:r>
    </w:p>
    <w:p w14:paraId="1AC10D1C" w14:textId="14A6B55C" w:rsidR="30D93C8E" w:rsidRDefault="6A99577B" w:rsidP="3BFF6491">
      <w:pPr>
        <w:spacing w:line="276" w:lineRule="auto"/>
        <w:jc w:val="both"/>
        <w:rPr>
          <w:rFonts w:asciiTheme="minorHAnsi" w:eastAsiaTheme="minorEastAsia" w:hAnsiTheme="minorHAnsi"/>
          <w:i/>
          <w:iCs/>
          <w:color w:val="0E2841" w:themeColor="text2"/>
          <w:sz w:val="18"/>
          <w:szCs w:val="18"/>
        </w:rPr>
      </w:pPr>
      <w:r w:rsidRPr="3BFF6491">
        <w:rPr>
          <w:rFonts w:asciiTheme="minorHAnsi" w:eastAsiaTheme="minorEastAsia" w:hAnsiTheme="minorHAnsi"/>
          <w:i/>
          <w:iCs/>
          <w:color w:val="0E2841" w:themeColor="text2"/>
          <w:sz w:val="18"/>
          <w:szCs w:val="18"/>
        </w:rPr>
        <w:t xml:space="preserve">Tableau </w:t>
      </w:r>
      <w:r w:rsidR="01F0E4D5" w:rsidRPr="3BFF6491">
        <w:rPr>
          <w:rFonts w:asciiTheme="minorHAnsi" w:eastAsiaTheme="minorEastAsia" w:hAnsiTheme="minorHAnsi"/>
          <w:i/>
          <w:iCs/>
          <w:color w:val="0E2841" w:themeColor="text2"/>
          <w:sz w:val="18"/>
          <w:szCs w:val="18"/>
        </w:rPr>
        <w:t>10</w:t>
      </w:r>
      <w:r w:rsidRPr="3BFF6491">
        <w:rPr>
          <w:rFonts w:asciiTheme="minorHAnsi" w:eastAsiaTheme="minorEastAsia" w:hAnsiTheme="minorHAnsi"/>
          <w:i/>
          <w:iCs/>
          <w:color w:val="0E2841" w:themeColor="text2"/>
          <w:sz w:val="18"/>
          <w:szCs w:val="18"/>
        </w:rPr>
        <w:t xml:space="preserve">. Prix du froment d’hiver selon deux sources : FAOSTAT pour l’agriculture conventionnelle et </w:t>
      </w:r>
      <w:proofErr w:type="spellStart"/>
      <w:r w:rsidRPr="3BFF6491">
        <w:rPr>
          <w:rFonts w:asciiTheme="minorHAnsi" w:eastAsiaTheme="minorEastAsia" w:hAnsiTheme="minorHAnsi"/>
          <w:i/>
          <w:iCs/>
          <w:color w:val="0E2841" w:themeColor="text2"/>
          <w:sz w:val="18"/>
          <w:szCs w:val="18"/>
        </w:rPr>
        <w:t>Biowallonie</w:t>
      </w:r>
      <w:proofErr w:type="spellEnd"/>
      <w:r w:rsidRPr="3BFF6491">
        <w:rPr>
          <w:rFonts w:asciiTheme="minorHAnsi" w:eastAsiaTheme="minorEastAsia" w:hAnsiTheme="minorHAnsi"/>
          <w:i/>
          <w:iCs/>
          <w:color w:val="0E2841" w:themeColor="text2"/>
          <w:sz w:val="18"/>
          <w:szCs w:val="18"/>
        </w:rPr>
        <w:t xml:space="preserve"> pour l’agriculture biologique. Le prix </w:t>
      </w:r>
      <w:r w:rsidR="4A4D0E2E" w:rsidRPr="3BFF6491">
        <w:rPr>
          <w:rFonts w:asciiTheme="minorHAnsi" w:eastAsiaTheme="minorEastAsia" w:hAnsiTheme="minorHAnsi"/>
          <w:i/>
          <w:iCs/>
          <w:color w:val="0E2841" w:themeColor="text2"/>
          <w:sz w:val="18"/>
          <w:szCs w:val="18"/>
        </w:rPr>
        <w:t xml:space="preserve">du blé </w:t>
      </w:r>
      <w:r w:rsidRPr="3BFF6491">
        <w:rPr>
          <w:rFonts w:asciiTheme="minorHAnsi" w:eastAsiaTheme="minorEastAsia" w:hAnsiTheme="minorHAnsi"/>
          <w:i/>
          <w:iCs/>
          <w:color w:val="0E2841" w:themeColor="text2"/>
          <w:sz w:val="18"/>
          <w:szCs w:val="18"/>
        </w:rPr>
        <w:t>conventionnel pour 2025 correspond à la moyenne des valeurs 2023 et 2024.</w:t>
      </w:r>
    </w:p>
    <w:tbl>
      <w:tblPr>
        <w:tblW w:w="0" w:type="auto"/>
        <w:jc w:val="center"/>
        <w:tblLook w:val="06A0" w:firstRow="1" w:lastRow="0" w:firstColumn="1" w:lastColumn="0" w:noHBand="1" w:noVBand="1"/>
      </w:tblPr>
      <w:tblGrid>
        <w:gridCol w:w="3225"/>
        <w:gridCol w:w="945"/>
        <w:gridCol w:w="945"/>
        <w:gridCol w:w="945"/>
        <w:gridCol w:w="945"/>
      </w:tblGrid>
      <w:tr w:rsidR="31197534" w14:paraId="18513F17" w14:textId="77777777" w:rsidTr="13C70224">
        <w:trPr>
          <w:trHeight w:val="255"/>
          <w:jc w:val="center"/>
        </w:trPr>
        <w:tc>
          <w:tcPr>
            <w:tcW w:w="3225" w:type="dxa"/>
            <w:tcBorders>
              <w:bottom w:val="single" w:sz="12" w:space="0" w:color="000000" w:themeColor="text1"/>
              <w:right w:val="single" w:sz="12" w:space="0" w:color="000000" w:themeColor="text1"/>
            </w:tcBorders>
            <w:vAlign w:val="center"/>
          </w:tcPr>
          <w:p w14:paraId="41849B2F" w14:textId="73269622" w:rsidR="31197534" w:rsidRDefault="31197534" w:rsidP="13C70224">
            <w:pPr>
              <w:spacing w:after="0" w:line="276" w:lineRule="auto"/>
              <w:jc w:val="both"/>
              <w:rPr>
                <w:rFonts w:eastAsia="Arial" w:cs="Arial"/>
              </w:rPr>
            </w:pP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6843DE2C" w14:textId="73824449" w:rsidR="31197534" w:rsidRDefault="1419A62D" w:rsidP="13C70224">
            <w:pPr>
              <w:spacing w:after="0" w:line="276" w:lineRule="auto"/>
              <w:jc w:val="both"/>
              <w:rPr>
                <w:rFonts w:eastAsia="Arial" w:cs="Arial"/>
                <w:b/>
                <w:bCs/>
              </w:rPr>
            </w:pPr>
            <w:r w:rsidRPr="13C70224">
              <w:rPr>
                <w:rFonts w:eastAsia="Arial" w:cs="Arial"/>
                <w:b/>
                <w:bCs/>
              </w:rPr>
              <w:t>2022</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1000AB0D" w14:textId="5C133CC1" w:rsidR="31197534" w:rsidRDefault="1419A62D" w:rsidP="13C70224">
            <w:pPr>
              <w:spacing w:after="0" w:line="276" w:lineRule="auto"/>
              <w:jc w:val="both"/>
              <w:rPr>
                <w:rFonts w:eastAsia="Arial" w:cs="Arial"/>
                <w:b/>
                <w:bCs/>
              </w:rPr>
            </w:pPr>
            <w:r w:rsidRPr="13C70224">
              <w:rPr>
                <w:rFonts w:eastAsia="Arial" w:cs="Arial"/>
                <w:b/>
                <w:bCs/>
              </w:rPr>
              <w:t>2023</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4AE666A9" w14:textId="17D838E2" w:rsidR="31197534" w:rsidRDefault="1419A62D" w:rsidP="13C70224">
            <w:pPr>
              <w:spacing w:after="0" w:line="276" w:lineRule="auto"/>
              <w:jc w:val="both"/>
              <w:rPr>
                <w:rFonts w:eastAsia="Arial" w:cs="Arial"/>
                <w:b/>
                <w:bCs/>
              </w:rPr>
            </w:pPr>
            <w:r w:rsidRPr="13C70224">
              <w:rPr>
                <w:rFonts w:eastAsia="Arial" w:cs="Arial"/>
                <w:b/>
                <w:bCs/>
              </w:rPr>
              <w:t>2024</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5D0877C1" w14:textId="60701B0F" w:rsidR="31197534" w:rsidRDefault="1419A62D" w:rsidP="13C70224">
            <w:pPr>
              <w:spacing w:after="0" w:line="276" w:lineRule="auto"/>
              <w:jc w:val="both"/>
              <w:rPr>
                <w:rFonts w:eastAsia="Arial" w:cs="Arial"/>
                <w:b/>
                <w:bCs/>
              </w:rPr>
            </w:pPr>
            <w:r w:rsidRPr="13C70224">
              <w:rPr>
                <w:rFonts w:eastAsia="Arial" w:cs="Arial"/>
                <w:b/>
                <w:bCs/>
              </w:rPr>
              <w:t>2025</w:t>
            </w:r>
          </w:p>
        </w:tc>
      </w:tr>
      <w:tr w:rsidR="31197534" w14:paraId="532651FA" w14:textId="77777777" w:rsidTr="13C70224">
        <w:trPr>
          <w:trHeight w:val="255"/>
          <w:jc w:val="center"/>
        </w:trPr>
        <w:tc>
          <w:tcPr>
            <w:tcW w:w="32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526B0588" w14:textId="6D03117B" w:rsidR="31197534" w:rsidRDefault="1419A62D" w:rsidP="13C70224">
            <w:pPr>
              <w:spacing w:after="0" w:line="276" w:lineRule="auto"/>
              <w:jc w:val="both"/>
              <w:rPr>
                <w:rFonts w:eastAsia="Arial" w:cs="Arial"/>
              </w:rPr>
            </w:pPr>
            <w:r w:rsidRPr="13C70224">
              <w:rPr>
                <w:rFonts w:eastAsia="Arial" w:cs="Arial"/>
              </w:rPr>
              <w:t>Prix (€/Tonne) conventionnelle</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3732453F" w14:textId="700D3FCC" w:rsidR="31197534" w:rsidRDefault="317B742A" w:rsidP="13C70224">
            <w:pPr>
              <w:spacing w:after="0" w:line="276" w:lineRule="auto"/>
              <w:jc w:val="both"/>
              <w:rPr>
                <w:rFonts w:eastAsia="Arial" w:cs="Arial"/>
              </w:rPr>
            </w:pPr>
            <w:r w:rsidRPr="13C70224">
              <w:rPr>
                <w:rFonts w:eastAsia="Arial" w:cs="Arial"/>
              </w:rPr>
              <w:t>309.6</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18346F61" w14:textId="5FC29E58" w:rsidR="31197534" w:rsidRDefault="317B742A" w:rsidP="13C70224">
            <w:pPr>
              <w:spacing w:after="0" w:line="276" w:lineRule="auto"/>
              <w:jc w:val="both"/>
              <w:rPr>
                <w:rFonts w:eastAsia="Arial" w:cs="Arial"/>
              </w:rPr>
            </w:pPr>
            <w:r w:rsidRPr="13C70224">
              <w:rPr>
                <w:rFonts w:eastAsia="Arial" w:cs="Arial"/>
              </w:rPr>
              <w:t>193.1</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19CCAF2E" w14:textId="17767244" w:rsidR="31197534" w:rsidRDefault="317B742A" w:rsidP="13C70224">
            <w:pPr>
              <w:spacing w:after="0" w:line="276" w:lineRule="auto"/>
              <w:jc w:val="both"/>
              <w:rPr>
                <w:rFonts w:eastAsia="Arial" w:cs="Arial"/>
              </w:rPr>
            </w:pPr>
            <w:r w:rsidRPr="13C70224">
              <w:rPr>
                <w:rFonts w:eastAsia="Arial" w:cs="Arial"/>
              </w:rPr>
              <w:t>190.1</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25639FEB" w14:textId="2BD0879F" w:rsidR="31197534" w:rsidRDefault="317B742A" w:rsidP="13C70224">
            <w:pPr>
              <w:spacing w:after="0" w:line="276" w:lineRule="auto"/>
              <w:jc w:val="both"/>
              <w:rPr>
                <w:rFonts w:eastAsia="Arial" w:cs="Arial"/>
              </w:rPr>
            </w:pPr>
            <w:r w:rsidRPr="13C70224">
              <w:rPr>
                <w:rFonts w:eastAsia="Arial" w:cs="Arial"/>
              </w:rPr>
              <w:t>191.6</w:t>
            </w:r>
          </w:p>
        </w:tc>
      </w:tr>
      <w:tr w:rsidR="31197534" w14:paraId="4500C53A" w14:textId="77777777" w:rsidTr="13C70224">
        <w:trPr>
          <w:trHeight w:val="255"/>
          <w:jc w:val="center"/>
        </w:trPr>
        <w:tc>
          <w:tcPr>
            <w:tcW w:w="32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4E92608C" w14:textId="4FA8D93D" w:rsidR="31197534" w:rsidRDefault="1419A62D" w:rsidP="13C70224">
            <w:pPr>
              <w:spacing w:after="0" w:line="276" w:lineRule="auto"/>
              <w:jc w:val="both"/>
              <w:rPr>
                <w:rFonts w:eastAsia="Arial" w:cs="Arial"/>
              </w:rPr>
            </w:pPr>
            <w:r w:rsidRPr="13C70224">
              <w:rPr>
                <w:rFonts w:eastAsia="Arial" w:cs="Arial"/>
              </w:rPr>
              <w:t>Prix (€/Tonne) biologique</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634D1B16" w14:textId="3675BE6C" w:rsidR="31197534" w:rsidRDefault="317B742A" w:rsidP="13C70224">
            <w:pPr>
              <w:spacing w:after="0" w:line="276" w:lineRule="auto"/>
              <w:jc w:val="both"/>
              <w:rPr>
                <w:rFonts w:eastAsia="Arial" w:cs="Arial"/>
              </w:rPr>
            </w:pPr>
            <w:r w:rsidRPr="13C70224">
              <w:rPr>
                <w:rFonts w:eastAsia="Arial" w:cs="Arial"/>
              </w:rPr>
              <w:t>40</w:t>
            </w:r>
            <w:r w:rsidR="7B2A245D" w:rsidRPr="13C70224">
              <w:rPr>
                <w:rFonts w:eastAsia="Arial" w:cs="Arial"/>
              </w:rPr>
              <w:t>2</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0B41AC32" w14:textId="10380E11" w:rsidR="31197534" w:rsidRDefault="317B742A" w:rsidP="13C70224">
            <w:pPr>
              <w:spacing w:after="0" w:line="276" w:lineRule="auto"/>
              <w:jc w:val="both"/>
              <w:rPr>
                <w:rFonts w:eastAsia="Arial" w:cs="Arial"/>
              </w:rPr>
            </w:pPr>
            <w:r w:rsidRPr="13C70224">
              <w:rPr>
                <w:rFonts w:eastAsia="Arial" w:cs="Arial"/>
              </w:rPr>
              <w:t>2</w:t>
            </w:r>
            <w:r w:rsidR="6929682A" w:rsidRPr="13C70224">
              <w:rPr>
                <w:rFonts w:eastAsia="Arial" w:cs="Arial"/>
              </w:rPr>
              <w:t>68</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0D86FAC9" w14:textId="6E4437EF" w:rsidR="31197534" w:rsidRDefault="317B742A" w:rsidP="13C70224">
            <w:pPr>
              <w:spacing w:after="0" w:line="276" w:lineRule="auto"/>
              <w:jc w:val="both"/>
              <w:rPr>
                <w:rFonts w:eastAsia="Arial" w:cs="Arial"/>
              </w:rPr>
            </w:pPr>
            <w:r w:rsidRPr="13C70224">
              <w:rPr>
                <w:rFonts w:eastAsia="Arial" w:cs="Arial"/>
              </w:rPr>
              <w:t>2</w:t>
            </w:r>
            <w:r w:rsidR="3937902F" w:rsidRPr="13C70224">
              <w:rPr>
                <w:rFonts w:eastAsia="Arial" w:cs="Arial"/>
              </w:rPr>
              <w:t>90</w:t>
            </w:r>
          </w:p>
        </w:tc>
        <w:tc>
          <w:tcPr>
            <w:tcW w:w="94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36701D99" w14:textId="1C298B5B" w:rsidR="31197534" w:rsidRDefault="3937902F" w:rsidP="13C70224">
            <w:pPr>
              <w:spacing w:after="0" w:line="276" w:lineRule="auto"/>
              <w:jc w:val="both"/>
              <w:rPr>
                <w:rFonts w:eastAsia="Arial" w:cs="Arial"/>
              </w:rPr>
            </w:pPr>
            <w:r w:rsidRPr="13C70224">
              <w:rPr>
                <w:rFonts w:eastAsia="Arial" w:cs="Arial"/>
              </w:rPr>
              <w:t>311</w:t>
            </w:r>
          </w:p>
        </w:tc>
      </w:tr>
    </w:tbl>
    <w:p w14:paraId="08D4AF13" w14:textId="0F19299C" w:rsidR="30D93C8E" w:rsidRDefault="30D93C8E" w:rsidP="13C70224">
      <w:pPr>
        <w:spacing w:line="276" w:lineRule="auto"/>
        <w:jc w:val="both"/>
        <w:rPr>
          <w:rFonts w:eastAsia="Arial" w:cs="Arial"/>
        </w:rPr>
      </w:pPr>
    </w:p>
    <w:p w14:paraId="1A0076FF" w14:textId="2560E97D" w:rsidR="30D93C8E" w:rsidRDefault="4B78CDA7" w:rsidP="13C70224">
      <w:pPr>
        <w:pStyle w:val="Titre3"/>
        <w:spacing w:line="276" w:lineRule="auto"/>
        <w:jc w:val="both"/>
        <w:rPr>
          <w:rFonts w:eastAsia="Arial" w:cs="Arial"/>
          <w:sz w:val="20"/>
          <w:szCs w:val="20"/>
        </w:rPr>
      </w:pPr>
      <w:r w:rsidRPr="13C70224">
        <w:rPr>
          <w:rFonts w:eastAsia="Arial" w:cs="Arial"/>
        </w:rPr>
        <w:t>Gain et perte sur les différents scénarios</w:t>
      </w:r>
    </w:p>
    <w:p w14:paraId="28D5ED17" w14:textId="408856D9" w:rsidR="30D93C8E" w:rsidRDefault="6D58C3CB" w:rsidP="13C70224">
      <w:pPr>
        <w:spacing w:after="240" w:line="276" w:lineRule="auto"/>
        <w:jc w:val="both"/>
        <w:rPr>
          <w:rFonts w:eastAsia="Arial" w:cs="Arial"/>
        </w:rPr>
      </w:pPr>
      <w:r w:rsidRPr="3BFF6491">
        <w:rPr>
          <w:rFonts w:eastAsia="Arial" w:cs="Arial"/>
        </w:rPr>
        <w:t>Les gains, ainsi que les éventuelles pertes de rendement liés aux différents scénarios pour les sept moissons de froment retenues sont présentés dans le</w:t>
      </w:r>
      <w:r w:rsidR="2B7D5AFA" w:rsidRPr="3BFF6491">
        <w:rPr>
          <w:rFonts w:eastAsia="Arial" w:cs="Arial"/>
        </w:rPr>
        <w:t xml:space="preserve"> tableau 11.</w:t>
      </w:r>
    </w:p>
    <w:p w14:paraId="4F871E4A" w14:textId="27A874DC" w:rsidR="30D93C8E" w:rsidRDefault="6D58C3CB" w:rsidP="3BFF6491">
      <w:pPr>
        <w:spacing w:after="240" w:line="276" w:lineRule="auto"/>
        <w:jc w:val="both"/>
        <w:rPr>
          <w:rFonts w:asciiTheme="minorHAnsi" w:eastAsiaTheme="minorEastAsia" w:hAnsiTheme="minorHAnsi"/>
          <w:i/>
          <w:iCs/>
          <w:color w:val="0E2841" w:themeColor="text2"/>
          <w:sz w:val="18"/>
          <w:szCs w:val="18"/>
        </w:rPr>
      </w:pPr>
      <w:r w:rsidRPr="3BFF6491">
        <w:rPr>
          <w:rFonts w:asciiTheme="minorHAnsi" w:eastAsiaTheme="minorEastAsia" w:hAnsiTheme="minorHAnsi"/>
          <w:i/>
          <w:iCs/>
          <w:color w:val="0E2841" w:themeColor="text2"/>
          <w:sz w:val="18"/>
          <w:szCs w:val="18"/>
        </w:rPr>
        <w:t xml:space="preserve">Tableau </w:t>
      </w:r>
      <w:r w:rsidR="3C786A54" w:rsidRPr="3BFF6491">
        <w:rPr>
          <w:rFonts w:asciiTheme="minorHAnsi" w:eastAsiaTheme="minorEastAsia" w:hAnsiTheme="minorHAnsi"/>
          <w:i/>
          <w:iCs/>
          <w:color w:val="0E2841" w:themeColor="text2"/>
          <w:sz w:val="18"/>
          <w:szCs w:val="18"/>
        </w:rPr>
        <w:t>11</w:t>
      </w:r>
      <w:r w:rsidRPr="3BFF6491">
        <w:rPr>
          <w:rFonts w:asciiTheme="minorHAnsi" w:eastAsiaTheme="minorEastAsia" w:hAnsiTheme="minorHAnsi"/>
          <w:i/>
          <w:iCs/>
          <w:color w:val="0E2841" w:themeColor="text2"/>
          <w:sz w:val="18"/>
          <w:szCs w:val="18"/>
        </w:rPr>
        <w:t>. Rendements prédits (en t/ha) par les modèles BRT pour les différentes moissons de froment étudiées, ainsi que l’impact des scénarios simulés sur ces rendements. Pour chaque scénario, le taux d'évolution du rendement est exprimé sous forme de facteur multiplicatif (en vert pour une augmentation des rendements et en rouge pour une diminution). Seul les modèles les plus robuste ont été conservé pour cette analyse (r ≥ 0.4).</w:t>
      </w:r>
    </w:p>
    <w:tbl>
      <w:tblPr>
        <w:tblW w:w="0" w:type="auto"/>
        <w:tblLook w:val="06A0" w:firstRow="1" w:lastRow="0" w:firstColumn="1" w:lastColumn="0" w:noHBand="1" w:noVBand="1"/>
      </w:tblPr>
      <w:tblGrid>
        <w:gridCol w:w="1197"/>
        <w:gridCol w:w="1023"/>
        <w:gridCol w:w="1320"/>
        <w:gridCol w:w="850"/>
        <w:gridCol w:w="1320"/>
        <w:gridCol w:w="990"/>
        <w:gridCol w:w="1320"/>
        <w:gridCol w:w="990"/>
      </w:tblGrid>
      <w:tr w:rsidR="6D20A9A5" w14:paraId="53D70475" w14:textId="77777777" w:rsidTr="13C70224">
        <w:trPr>
          <w:trHeight w:val="750"/>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3D5CD1" w14:textId="4D3756C5"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Moisson</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525A22B" w14:textId="5DD63023"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Rendement prédit (T/ha) </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921483" w14:textId="2E3F2BCA"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Taux d’augmentation scénario pH </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24AB85" w14:textId="6091F95B"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Variation du prix (€/ha) scénario pH </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F87213" w14:textId="3C183AEE"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Taux d’augmentation scénario COT/Argile </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7D47A5" w14:textId="492216C1"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Variation du prix (€/ha) scénario COT/Argile </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9127E6" w14:textId="2287DBB8"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Taux d’augmentation scénario pH + COT/argile</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2F28D9" w14:textId="59B18358" w:rsidR="6D20A9A5" w:rsidRDefault="4E7BA27D" w:rsidP="13C70224">
            <w:pPr>
              <w:spacing w:after="0" w:line="276" w:lineRule="auto"/>
              <w:jc w:val="center"/>
              <w:rPr>
                <w:rFonts w:eastAsia="Arial" w:cs="Arial"/>
                <w:b/>
                <w:bCs/>
                <w:sz w:val="16"/>
                <w:szCs w:val="16"/>
              </w:rPr>
            </w:pPr>
            <w:r w:rsidRPr="13C70224">
              <w:rPr>
                <w:rFonts w:eastAsia="Arial" w:cs="Arial"/>
                <w:b/>
                <w:bCs/>
                <w:sz w:val="16"/>
                <w:szCs w:val="16"/>
              </w:rPr>
              <w:t xml:space="preserve">Variation du prix (€/ha) scénario pH + COT/Argile </w:t>
            </w:r>
          </w:p>
        </w:tc>
      </w:tr>
      <w:tr w:rsidR="6D20A9A5" w14:paraId="773A60CC" w14:textId="77777777" w:rsidTr="13C70224">
        <w:trPr>
          <w:trHeight w:val="255"/>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7E87A6B" w14:textId="17EFBFF7" w:rsidR="6D20A9A5" w:rsidRDefault="4E7BA27D" w:rsidP="13C70224">
            <w:pPr>
              <w:spacing w:after="0" w:line="276" w:lineRule="auto"/>
              <w:jc w:val="center"/>
              <w:rPr>
                <w:rFonts w:eastAsia="Arial" w:cs="Arial"/>
                <w:sz w:val="16"/>
                <w:szCs w:val="16"/>
              </w:rPr>
            </w:pPr>
            <w:proofErr w:type="spellStart"/>
            <w:r w:rsidRPr="13C70224">
              <w:rPr>
                <w:rFonts w:eastAsia="Arial" w:cs="Arial"/>
                <w:sz w:val="16"/>
                <w:szCs w:val="16"/>
              </w:rPr>
              <w:t>Flabat</w:t>
            </w:r>
            <w:proofErr w:type="spellEnd"/>
            <w:r w:rsidRPr="13C70224">
              <w:rPr>
                <w:rFonts w:eastAsia="Arial" w:cs="Arial"/>
                <w:sz w:val="16"/>
                <w:szCs w:val="16"/>
              </w:rPr>
              <w:t xml:space="preserve"> 2022</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5523E20" w14:textId="5F683875" w:rsidR="6D20A9A5" w:rsidRDefault="4E7BA27D" w:rsidP="13C70224">
            <w:pPr>
              <w:spacing w:after="0" w:line="276" w:lineRule="auto"/>
              <w:jc w:val="center"/>
              <w:rPr>
                <w:rFonts w:eastAsia="Arial" w:cs="Arial"/>
                <w:sz w:val="16"/>
                <w:szCs w:val="16"/>
              </w:rPr>
            </w:pPr>
            <w:r w:rsidRPr="13C70224">
              <w:rPr>
                <w:rFonts w:eastAsia="Arial" w:cs="Arial"/>
                <w:sz w:val="16"/>
                <w:szCs w:val="16"/>
              </w:rPr>
              <w:t>9.03</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A66F923" w14:textId="309B4340" w:rsidR="6D20A9A5" w:rsidRDefault="4E7BA27D"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Pr="13C70224">
              <w:rPr>
                <w:rFonts w:eastAsia="Arial" w:cs="Arial"/>
                <w:b/>
                <w:bCs/>
                <w:color w:val="275317" w:themeColor="accent6" w:themeShade="80"/>
                <w:sz w:val="16"/>
                <w:szCs w:val="16"/>
              </w:rPr>
              <w:t>1.002</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72F3FD6" w14:textId="1FA0C587"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6.2</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07532A3" w14:textId="059F9BA4" w:rsidR="15E8B940" w:rsidRDefault="3AC8ADF8"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1.009</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13FF3E1" w14:textId="55597797"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25.7</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78669B7" w14:textId="4248C86C" w:rsidR="0213199C" w:rsidRDefault="1F798A52"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1.011</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A393F7" w14:textId="6384F817"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32.1</w:t>
            </w:r>
          </w:p>
        </w:tc>
      </w:tr>
      <w:tr w:rsidR="6D20A9A5" w14:paraId="3ACEE1AD" w14:textId="77777777" w:rsidTr="13C70224">
        <w:trPr>
          <w:trHeight w:val="300"/>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9F2705" w14:textId="12B7A5F1" w:rsidR="6D20A9A5" w:rsidRDefault="4E7BA27D" w:rsidP="13C70224">
            <w:pPr>
              <w:spacing w:after="0" w:line="276" w:lineRule="auto"/>
              <w:jc w:val="center"/>
              <w:rPr>
                <w:rFonts w:eastAsia="Arial" w:cs="Arial"/>
                <w:sz w:val="16"/>
                <w:szCs w:val="16"/>
              </w:rPr>
            </w:pPr>
            <w:proofErr w:type="spellStart"/>
            <w:r w:rsidRPr="13C70224">
              <w:rPr>
                <w:rFonts w:eastAsia="Arial" w:cs="Arial"/>
                <w:sz w:val="16"/>
                <w:szCs w:val="16"/>
              </w:rPr>
              <w:t>ThAuto</w:t>
            </w:r>
            <w:proofErr w:type="spellEnd"/>
            <w:r w:rsidRPr="13C70224">
              <w:rPr>
                <w:rFonts w:eastAsia="Arial" w:cs="Arial"/>
                <w:sz w:val="16"/>
                <w:szCs w:val="16"/>
              </w:rPr>
              <w:t xml:space="preserve"> 2022</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61C515" w14:textId="5681CE0C" w:rsidR="6D20A9A5" w:rsidRDefault="4E7BA27D" w:rsidP="13C70224">
            <w:pPr>
              <w:spacing w:after="0" w:line="276" w:lineRule="auto"/>
              <w:jc w:val="center"/>
              <w:rPr>
                <w:rFonts w:eastAsia="Arial" w:cs="Arial"/>
                <w:sz w:val="16"/>
                <w:szCs w:val="16"/>
              </w:rPr>
            </w:pPr>
            <w:r w:rsidRPr="13C70224">
              <w:rPr>
                <w:rFonts w:eastAsia="Arial" w:cs="Arial"/>
                <w:sz w:val="16"/>
                <w:szCs w:val="16"/>
              </w:rPr>
              <w:t>7.72</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6503A7" w14:textId="30ECC9DE" w:rsidR="6D20A9A5" w:rsidRDefault="4E7BA27D"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Pr="13C70224">
              <w:rPr>
                <w:rFonts w:eastAsia="Arial" w:cs="Arial"/>
                <w:b/>
                <w:bCs/>
                <w:color w:val="275317" w:themeColor="accent6" w:themeShade="80"/>
                <w:sz w:val="16"/>
                <w:szCs w:val="16"/>
              </w:rPr>
              <w:t>1.104</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8BFED1" w14:textId="11F30111"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324.7</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91329B" w14:textId="50381C5A" w:rsidR="15E8B940" w:rsidRDefault="3AC8ADF8"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1.008</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4D1957" w14:textId="6FC45989"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24.</w:t>
            </w:r>
            <w:r w:rsidR="7097813F" w:rsidRPr="13C70224">
              <w:rPr>
                <w:rFonts w:eastAsia="Arial" w:cs="Arial"/>
                <w:color w:val="275317" w:themeColor="accent6" w:themeShade="80"/>
                <w:sz w:val="16"/>
                <w:szCs w:val="16"/>
              </w:rPr>
              <w:t>5</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86A583" w14:textId="11D2BD9B" w:rsidR="70C68B06" w:rsidRDefault="37CE3F8B"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1.106</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F5AB6B" w14:textId="7BA5195B"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330.9</w:t>
            </w:r>
          </w:p>
        </w:tc>
      </w:tr>
      <w:tr w:rsidR="6D20A9A5" w14:paraId="23F4363D" w14:textId="77777777" w:rsidTr="13C70224">
        <w:trPr>
          <w:trHeight w:val="255"/>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966D1D" w14:textId="4B1E59DD" w:rsidR="6D20A9A5" w:rsidRDefault="4E7BA27D" w:rsidP="13C70224">
            <w:pPr>
              <w:spacing w:after="0" w:line="276" w:lineRule="auto"/>
              <w:jc w:val="center"/>
              <w:rPr>
                <w:rFonts w:eastAsia="Arial" w:cs="Arial"/>
                <w:sz w:val="16"/>
                <w:szCs w:val="16"/>
              </w:rPr>
            </w:pPr>
            <w:r w:rsidRPr="13C70224">
              <w:rPr>
                <w:rFonts w:eastAsia="Arial" w:cs="Arial"/>
                <w:sz w:val="16"/>
                <w:szCs w:val="16"/>
              </w:rPr>
              <w:t>Paradis 2023</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0073A7" w14:textId="04313F4A" w:rsidR="6D20A9A5" w:rsidRDefault="4E7BA27D" w:rsidP="13C70224">
            <w:pPr>
              <w:spacing w:after="0" w:line="276" w:lineRule="auto"/>
              <w:jc w:val="center"/>
              <w:rPr>
                <w:rFonts w:eastAsia="Arial" w:cs="Arial"/>
                <w:sz w:val="16"/>
                <w:szCs w:val="16"/>
              </w:rPr>
            </w:pPr>
            <w:r w:rsidRPr="13C70224">
              <w:rPr>
                <w:rFonts w:eastAsia="Arial" w:cs="Arial"/>
                <w:sz w:val="16"/>
                <w:szCs w:val="16"/>
              </w:rPr>
              <w:t>9.20</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75148B" w14:textId="7100E132" w:rsidR="6D20A9A5" w:rsidRDefault="4E7BA27D"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Pr="13C70224">
              <w:rPr>
                <w:rFonts w:eastAsia="Arial" w:cs="Arial"/>
                <w:b/>
                <w:bCs/>
                <w:color w:val="275317" w:themeColor="accent6" w:themeShade="80"/>
                <w:sz w:val="16"/>
                <w:szCs w:val="16"/>
              </w:rPr>
              <w:t>1.004</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4FE861" w14:textId="29A5A6B5"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7.5</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4F7BF01" w14:textId="44FEA846" w:rsidR="30DED4D4" w:rsidRDefault="0390632E"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1.011</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42058B" w14:textId="4BB86B9C"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18.</w:t>
            </w:r>
            <w:r w:rsidR="54F3A05A" w:rsidRPr="13C70224">
              <w:rPr>
                <w:rFonts w:eastAsia="Arial" w:cs="Arial"/>
                <w:color w:val="275317" w:themeColor="accent6" w:themeShade="80"/>
                <w:sz w:val="16"/>
                <w:szCs w:val="16"/>
              </w:rPr>
              <w:t>8</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943DA7" w14:textId="337F5919" w:rsidR="70C68B06" w:rsidRDefault="37CE3F8B"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1.016</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0363CB" w14:textId="76D1802B"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28.3</w:t>
            </w:r>
          </w:p>
        </w:tc>
      </w:tr>
      <w:tr w:rsidR="6D20A9A5" w14:paraId="6C06360A" w14:textId="77777777" w:rsidTr="13C70224">
        <w:trPr>
          <w:trHeight w:val="255"/>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971F4E" w14:textId="52ABD111" w:rsidR="6D20A9A5" w:rsidRDefault="4E7BA27D" w:rsidP="13C70224">
            <w:pPr>
              <w:spacing w:after="0" w:line="276" w:lineRule="auto"/>
              <w:jc w:val="center"/>
              <w:rPr>
                <w:rFonts w:eastAsia="Arial" w:cs="Arial"/>
                <w:sz w:val="16"/>
                <w:szCs w:val="16"/>
              </w:rPr>
            </w:pPr>
            <w:proofErr w:type="spellStart"/>
            <w:r w:rsidRPr="13C70224">
              <w:rPr>
                <w:rFonts w:eastAsia="Arial" w:cs="Arial"/>
                <w:sz w:val="16"/>
                <w:szCs w:val="16"/>
              </w:rPr>
              <w:t>Flabat</w:t>
            </w:r>
            <w:proofErr w:type="spellEnd"/>
            <w:r w:rsidRPr="13C70224">
              <w:rPr>
                <w:rFonts w:eastAsia="Arial" w:cs="Arial"/>
                <w:sz w:val="16"/>
                <w:szCs w:val="16"/>
              </w:rPr>
              <w:t xml:space="preserve"> 2024</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670360" w14:textId="7C4FCFE2" w:rsidR="6D20A9A5" w:rsidRDefault="4E7BA27D" w:rsidP="13C70224">
            <w:pPr>
              <w:spacing w:after="0" w:line="276" w:lineRule="auto"/>
              <w:jc w:val="center"/>
              <w:rPr>
                <w:rFonts w:eastAsia="Arial" w:cs="Arial"/>
                <w:sz w:val="16"/>
                <w:szCs w:val="16"/>
              </w:rPr>
            </w:pPr>
            <w:r w:rsidRPr="13C70224">
              <w:rPr>
                <w:rFonts w:eastAsia="Arial" w:cs="Arial"/>
                <w:sz w:val="16"/>
                <w:szCs w:val="16"/>
              </w:rPr>
              <w:t>6.60</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404014" w14:textId="58E56E36" w:rsidR="6D20A9A5" w:rsidRDefault="4E7BA27D" w:rsidP="13C70224">
            <w:pPr>
              <w:spacing w:after="0" w:line="276" w:lineRule="auto"/>
              <w:jc w:val="center"/>
              <w:rPr>
                <w:rFonts w:eastAsia="Arial" w:cs="Arial"/>
                <w:b/>
                <w:bCs/>
                <w:color w:val="FF0000"/>
                <w:sz w:val="16"/>
                <w:szCs w:val="16"/>
              </w:rPr>
            </w:pPr>
            <w:proofErr w:type="gramStart"/>
            <w:r w:rsidRPr="13C70224">
              <w:rPr>
                <w:rFonts w:eastAsia="Arial" w:cs="Arial"/>
                <w:b/>
                <w:bCs/>
                <w:color w:val="FF0000"/>
                <w:sz w:val="16"/>
                <w:szCs w:val="16"/>
              </w:rPr>
              <w:t>x</w:t>
            </w:r>
            <w:proofErr w:type="gramEnd"/>
            <w:r w:rsidRPr="13C70224">
              <w:rPr>
                <w:rFonts w:eastAsia="Arial" w:cs="Arial"/>
                <w:b/>
                <w:bCs/>
                <w:color w:val="FF0000"/>
                <w:sz w:val="16"/>
                <w:szCs w:val="16"/>
              </w:rPr>
              <w:t>1</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B3E1A12" w14:textId="6F4C8A66" w:rsidR="6D20A9A5" w:rsidRDefault="4E7BA27D" w:rsidP="13C70224">
            <w:pPr>
              <w:spacing w:after="0" w:line="276" w:lineRule="auto"/>
              <w:jc w:val="center"/>
              <w:rPr>
                <w:rFonts w:eastAsia="Arial" w:cs="Arial"/>
                <w:color w:val="FF0000"/>
                <w:sz w:val="16"/>
                <w:szCs w:val="16"/>
              </w:rPr>
            </w:pPr>
            <w:r w:rsidRPr="13C70224">
              <w:rPr>
                <w:rFonts w:eastAsia="Arial" w:cs="Arial"/>
                <w:color w:val="FF0000"/>
                <w:sz w:val="16"/>
                <w:szCs w:val="16"/>
              </w:rPr>
              <w:t>-0.2</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637101" w14:textId="5E56C814" w:rsidR="30DED4D4" w:rsidRDefault="0390632E"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1.004</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EFBA57F" w14:textId="36BAFFEA"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4.4</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9FD006" w14:textId="6F82DC50" w:rsidR="03E93785" w:rsidRDefault="6DB8A4CC"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1.003</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F85BB30" w14:textId="64A468BF"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4.2</w:t>
            </w:r>
          </w:p>
        </w:tc>
      </w:tr>
      <w:tr w:rsidR="6D20A9A5" w14:paraId="7B11276A" w14:textId="77777777" w:rsidTr="13C70224">
        <w:trPr>
          <w:trHeight w:val="255"/>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B18D68" w14:textId="3EE85CF0" w:rsidR="6D20A9A5" w:rsidRDefault="4E7BA27D" w:rsidP="13C70224">
            <w:pPr>
              <w:spacing w:after="0" w:line="276" w:lineRule="auto"/>
              <w:jc w:val="center"/>
              <w:rPr>
                <w:rFonts w:eastAsia="Arial" w:cs="Arial"/>
                <w:sz w:val="16"/>
                <w:szCs w:val="16"/>
              </w:rPr>
            </w:pPr>
            <w:proofErr w:type="spellStart"/>
            <w:r w:rsidRPr="13C70224">
              <w:rPr>
                <w:rFonts w:eastAsia="Arial" w:cs="Arial"/>
                <w:sz w:val="16"/>
                <w:szCs w:val="16"/>
              </w:rPr>
              <w:t>GrdSeumoy_D</w:t>
            </w:r>
            <w:proofErr w:type="spellEnd"/>
            <w:r w:rsidRPr="13C70224">
              <w:rPr>
                <w:rFonts w:eastAsia="Arial" w:cs="Arial"/>
                <w:sz w:val="16"/>
                <w:szCs w:val="16"/>
              </w:rPr>
              <w:t xml:space="preserve"> 2024</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F405F9F" w14:textId="75BDD1E1" w:rsidR="6D20A9A5" w:rsidRDefault="4E7BA27D" w:rsidP="13C70224">
            <w:pPr>
              <w:spacing w:after="0" w:line="276" w:lineRule="auto"/>
              <w:jc w:val="center"/>
              <w:rPr>
                <w:rFonts w:eastAsia="Arial" w:cs="Arial"/>
                <w:sz w:val="16"/>
                <w:szCs w:val="16"/>
              </w:rPr>
            </w:pPr>
            <w:r w:rsidRPr="13C70224">
              <w:rPr>
                <w:rFonts w:eastAsia="Arial" w:cs="Arial"/>
                <w:sz w:val="16"/>
                <w:szCs w:val="16"/>
              </w:rPr>
              <w:t>2.86</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4192298" w14:textId="457E4C20" w:rsidR="6D20A9A5" w:rsidRDefault="4E7BA27D"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Pr="13C70224">
              <w:rPr>
                <w:rFonts w:eastAsia="Arial" w:cs="Arial"/>
                <w:b/>
                <w:bCs/>
                <w:color w:val="275317" w:themeColor="accent6" w:themeShade="80"/>
                <w:sz w:val="16"/>
                <w:szCs w:val="16"/>
              </w:rPr>
              <w:t>1.081</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975AC33" w14:textId="6B8E2672"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58.0</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1B96B1" w14:textId="538905C8" w:rsidR="6E2EB099" w:rsidRDefault="393FBF28"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1.027</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806505" w14:textId="64173D01"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19.2</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0CA807" w14:textId="75468A4B" w:rsidR="55D7C043" w:rsidRDefault="4C3B0659"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1.112</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20D3D3C" w14:textId="55574B2F"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80.0</w:t>
            </w:r>
          </w:p>
        </w:tc>
      </w:tr>
      <w:tr w:rsidR="6D20A9A5" w14:paraId="7360424B" w14:textId="77777777" w:rsidTr="13C70224">
        <w:trPr>
          <w:trHeight w:val="255"/>
        </w:trPr>
        <w:tc>
          <w:tcPr>
            <w:tcW w:w="109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B7F8DC" w14:textId="4C80FBC4" w:rsidR="6D20A9A5" w:rsidRDefault="4E7BA27D" w:rsidP="13C70224">
            <w:pPr>
              <w:spacing w:after="0" w:line="276" w:lineRule="auto"/>
              <w:jc w:val="center"/>
              <w:rPr>
                <w:rFonts w:eastAsia="Arial" w:cs="Arial"/>
                <w:sz w:val="16"/>
                <w:szCs w:val="16"/>
              </w:rPr>
            </w:pPr>
            <w:proofErr w:type="spellStart"/>
            <w:r w:rsidRPr="13C70224">
              <w:rPr>
                <w:rFonts w:eastAsia="Arial" w:cs="Arial"/>
                <w:sz w:val="16"/>
                <w:szCs w:val="16"/>
              </w:rPr>
              <w:t>Nosipont</w:t>
            </w:r>
            <w:proofErr w:type="spellEnd"/>
            <w:r w:rsidRPr="13C70224">
              <w:rPr>
                <w:rFonts w:eastAsia="Arial" w:cs="Arial"/>
                <w:sz w:val="16"/>
                <w:szCs w:val="16"/>
              </w:rPr>
              <w:t xml:space="preserve"> 2024</w:t>
            </w:r>
          </w:p>
        </w:tc>
        <w:tc>
          <w:tcPr>
            <w:tcW w:w="946"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CBFF35" w14:textId="3DE9FE91" w:rsidR="6D20A9A5" w:rsidRDefault="4E7BA27D" w:rsidP="13C70224">
            <w:pPr>
              <w:spacing w:after="0" w:line="276" w:lineRule="auto"/>
              <w:jc w:val="center"/>
              <w:rPr>
                <w:rFonts w:eastAsia="Arial" w:cs="Arial"/>
                <w:sz w:val="16"/>
                <w:szCs w:val="16"/>
              </w:rPr>
            </w:pPr>
            <w:r w:rsidRPr="13C70224">
              <w:rPr>
                <w:rFonts w:eastAsia="Arial" w:cs="Arial"/>
                <w:sz w:val="16"/>
                <w:szCs w:val="16"/>
              </w:rPr>
              <w:t>2.94</w:t>
            </w:r>
          </w:p>
        </w:tc>
        <w:tc>
          <w:tcPr>
            <w:tcW w:w="1061"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5E8ED18" w14:textId="26DF9E4A" w:rsidR="6D20A9A5" w:rsidRDefault="4E7BA27D"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Pr="13C70224">
              <w:rPr>
                <w:rFonts w:eastAsia="Arial" w:cs="Arial"/>
                <w:b/>
                <w:bCs/>
                <w:color w:val="275317" w:themeColor="accent6" w:themeShade="80"/>
                <w:sz w:val="16"/>
                <w:szCs w:val="16"/>
              </w:rPr>
              <w:t>1.043</w:t>
            </w:r>
          </w:p>
        </w:tc>
        <w:tc>
          <w:tcPr>
            <w:tcW w:w="11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34E32F" w14:textId="3DAC8619"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31.</w:t>
            </w:r>
            <w:r w:rsidR="6BC07ACE" w:rsidRPr="13C70224">
              <w:rPr>
                <w:rFonts w:eastAsia="Arial" w:cs="Arial"/>
                <w:color w:val="275317" w:themeColor="accent6" w:themeShade="80"/>
                <w:sz w:val="16"/>
                <w:szCs w:val="16"/>
              </w:rPr>
              <w:t>6</w:t>
            </w:r>
          </w:p>
        </w:tc>
        <w:tc>
          <w:tcPr>
            <w:tcW w:w="118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887BEF" w14:textId="17EA7FFC" w:rsidR="7B2B23E4" w:rsidRDefault="2ED9C03C" w:rsidP="13C70224">
            <w:pPr>
              <w:spacing w:after="0" w:line="276" w:lineRule="auto"/>
              <w:jc w:val="center"/>
              <w:rPr>
                <w:rFonts w:eastAsia="Arial" w:cs="Arial"/>
                <w:b/>
                <w:bCs/>
                <w:color w:val="FF0000"/>
                <w:sz w:val="16"/>
                <w:szCs w:val="16"/>
              </w:rPr>
            </w:pPr>
            <w:proofErr w:type="gramStart"/>
            <w:r w:rsidRPr="13C70224">
              <w:rPr>
                <w:rFonts w:eastAsia="Arial" w:cs="Arial"/>
                <w:b/>
                <w:bCs/>
                <w:color w:val="FF0000"/>
                <w:sz w:val="16"/>
                <w:szCs w:val="16"/>
              </w:rPr>
              <w:t>x</w:t>
            </w:r>
            <w:proofErr w:type="gramEnd"/>
            <w:r w:rsidR="4E7BA27D" w:rsidRPr="13C70224">
              <w:rPr>
                <w:rFonts w:eastAsia="Arial" w:cs="Arial"/>
                <w:b/>
                <w:bCs/>
                <w:color w:val="FF0000"/>
                <w:sz w:val="16"/>
                <w:szCs w:val="16"/>
              </w:rPr>
              <w:t>0.996</w:t>
            </w:r>
          </w:p>
        </w:tc>
        <w:tc>
          <w:tcPr>
            <w:tcW w:w="109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A433F0" w14:textId="022FC89A" w:rsidR="6D20A9A5" w:rsidRDefault="4E7BA27D" w:rsidP="13C70224">
            <w:pPr>
              <w:spacing w:after="0" w:line="276" w:lineRule="auto"/>
              <w:jc w:val="center"/>
              <w:rPr>
                <w:rFonts w:eastAsia="Arial" w:cs="Arial"/>
                <w:color w:val="FF0000"/>
                <w:sz w:val="16"/>
                <w:szCs w:val="16"/>
              </w:rPr>
            </w:pPr>
            <w:r w:rsidRPr="13C70224">
              <w:rPr>
                <w:rFonts w:eastAsia="Arial" w:cs="Arial"/>
                <w:color w:val="FF0000"/>
                <w:sz w:val="16"/>
                <w:szCs w:val="16"/>
              </w:rPr>
              <w:t>-2.6</w:t>
            </w:r>
          </w:p>
        </w:tc>
        <w:tc>
          <w:tcPr>
            <w:tcW w:w="142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7B89E8" w14:textId="60D6D617" w:rsidR="55D7C043" w:rsidRDefault="4C3B0659" w:rsidP="13C70224">
            <w:pPr>
              <w:spacing w:after="0" w:line="276" w:lineRule="auto"/>
              <w:jc w:val="center"/>
              <w:rPr>
                <w:rFonts w:eastAsia="Arial" w:cs="Arial"/>
                <w:b/>
                <w:bCs/>
                <w:color w:val="275317" w:themeColor="accent6" w:themeShade="80"/>
                <w:sz w:val="16"/>
                <w:szCs w:val="16"/>
              </w:rPr>
            </w:pPr>
            <w:proofErr w:type="gramStart"/>
            <w:r w:rsidRPr="13C70224">
              <w:rPr>
                <w:rFonts w:eastAsia="Arial" w:cs="Arial"/>
                <w:b/>
                <w:bCs/>
                <w:color w:val="275317" w:themeColor="accent6" w:themeShade="80"/>
                <w:sz w:val="16"/>
                <w:szCs w:val="16"/>
              </w:rPr>
              <w:t>x</w:t>
            </w:r>
            <w:proofErr w:type="gramEnd"/>
            <w:r w:rsidR="4E7BA27D" w:rsidRPr="13C70224">
              <w:rPr>
                <w:rFonts w:eastAsia="Arial" w:cs="Arial"/>
                <w:b/>
                <w:bCs/>
                <w:color w:val="275317" w:themeColor="accent6" w:themeShade="80"/>
                <w:sz w:val="16"/>
                <w:szCs w:val="16"/>
              </w:rPr>
              <w:t>1.039</w:t>
            </w:r>
          </w:p>
        </w:tc>
        <w:tc>
          <w:tcPr>
            <w:tcW w:w="150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AFD0F1" w14:textId="378970CD" w:rsidR="6D20A9A5" w:rsidRDefault="4E7BA27D" w:rsidP="13C70224">
            <w:pPr>
              <w:spacing w:after="0" w:line="276" w:lineRule="auto"/>
              <w:jc w:val="center"/>
              <w:rPr>
                <w:rFonts w:eastAsia="Arial" w:cs="Arial"/>
                <w:color w:val="275317" w:themeColor="accent6" w:themeShade="80"/>
                <w:sz w:val="16"/>
                <w:szCs w:val="16"/>
              </w:rPr>
            </w:pPr>
            <w:r w:rsidRPr="13C70224">
              <w:rPr>
                <w:rFonts w:eastAsia="Arial" w:cs="Arial"/>
                <w:color w:val="275317" w:themeColor="accent6" w:themeShade="80"/>
                <w:sz w:val="16"/>
                <w:szCs w:val="16"/>
              </w:rPr>
              <w:t>28.4</w:t>
            </w:r>
          </w:p>
        </w:tc>
      </w:tr>
    </w:tbl>
    <w:p w14:paraId="3F9CB3EF" w14:textId="44566C1A" w:rsidR="30D93C8E" w:rsidRDefault="30D93C8E" w:rsidP="13C70224">
      <w:pPr>
        <w:spacing w:line="276" w:lineRule="auto"/>
        <w:jc w:val="both"/>
        <w:rPr>
          <w:rFonts w:eastAsia="Arial" w:cs="Arial"/>
        </w:rPr>
      </w:pPr>
    </w:p>
    <w:p w14:paraId="52C37ADD" w14:textId="2B50EA5B" w:rsidR="30D93C8E" w:rsidRDefault="5C0C2C7D" w:rsidP="13C70224">
      <w:pPr>
        <w:spacing w:line="276" w:lineRule="auto"/>
        <w:jc w:val="both"/>
        <w:rPr>
          <w:rFonts w:eastAsia="Arial" w:cs="Arial"/>
        </w:rPr>
      </w:pPr>
      <w:r w:rsidRPr="6D20C1D8">
        <w:rPr>
          <w:rFonts w:eastAsia="Arial" w:cs="Arial"/>
        </w:rPr>
        <w:t xml:space="preserve">Les scénarios simulés montrent un gain de rendement moyen d’environ +3,9 % pour la correction du pH et +0,9 % pour l’amélioration du ratio COT/argile. La correction du pH pourrait donc générer des gains plus importants à court terme, car ce paramètre peut être corrigé </w:t>
      </w:r>
      <w:r w:rsidR="0BC41CAA" w:rsidRPr="6D20C1D8">
        <w:rPr>
          <w:rFonts w:eastAsia="Arial" w:cs="Arial"/>
        </w:rPr>
        <w:t xml:space="preserve">sur une période relativement courte comme cela a été montré sur la parcelle </w:t>
      </w:r>
      <w:proofErr w:type="spellStart"/>
      <w:r w:rsidR="0BC41CAA" w:rsidRPr="6D20C1D8">
        <w:rPr>
          <w:rFonts w:eastAsia="Arial" w:cs="Arial"/>
        </w:rPr>
        <w:t>ThAuto</w:t>
      </w:r>
      <w:proofErr w:type="spellEnd"/>
      <w:r w:rsidR="0BC41CAA" w:rsidRPr="6D20C1D8">
        <w:rPr>
          <w:rFonts w:eastAsia="Arial" w:cs="Arial"/>
        </w:rPr>
        <w:t xml:space="preserve"> (une à deux rotations pour corriger le pH d’une parcelle)</w:t>
      </w:r>
      <w:r w:rsidRPr="6D20C1D8">
        <w:rPr>
          <w:rFonts w:eastAsia="Arial" w:cs="Arial"/>
        </w:rPr>
        <w:t>. À l’inverse, l’amélioration du ratio COT/argile produit des effets plus modestes mais potentiellement plus généralisables, cet indicateur étant plus fréquemment associé aux variations de rendement dans les modèles</w:t>
      </w:r>
      <w:r w:rsidR="13FF57A3" w:rsidRPr="6D20C1D8">
        <w:rPr>
          <w:rFonts w:eastAsia="Arial" w:cs="Arial"/>
        </w:rPr>
        <w:t xml:space="preserve"> (« Mesurer et expliquer l’hétérogénéité intra-parcellaire du rendement</w:t>
      </w:r>
      <w:r w:rsidR="68DFE978" w:rsidRPr="6D20C1D8">
        <w:rPr>
          <w:rFonts w:eastAsia="Arial" w:cs="Arial"/>
        </w:rPr>
        <w:t xml:space="preserve"> </w:t>
      </w:r>
      <w:r w:rsidR="13FF57A3" w:rsidRPr="6D20C1D8">
        <w:rPr>
          <w:rFonts w:eastAsia="Arial" w:cs="Arial"/>
        </w:rPr>
        <w:t>»)</w:t>
      </w:r>
      <w:r w:rsidRPr="6D20C1D8">
        <w:rPr>
          <w:rFonts w:eastAsia="Arial" w:cs="Arial"/>
        </w:rPr>
        <w:t>.</w:t>
      </w:r>
    </w:p>
    <w:p w14:paraId="4217A1C1" w14:textId="68186908" w:rsidR="1DE2EEEB" w:rsidRDefault="7E00C26D" w:rsidP="13C70224">
      <w:pPr>
        <w:spacing w:before="240" w:after="240" w:line="276" w:lineRule="auto"/>
        <w:jc w:val="both"/>
        <w:rPr>
          <w:rFonts w:eastAsia="Arial" w:cs="Arial"/>
        </w:rPr>
      </w:pPr>
      <w:r w:rsidRPr="30FB3E96">
        <w:rPr>
          <w:rFonts w:eastAsia="Arial" w:cs="Arial"/>
        </w:rPr>
        <w:t xml:space="preserve">En prenant en compte à la fois une amélioration du ratio COT/argile et du pH des parcelles, les gains de rendement estimés, si les corrections de pH et du ratio COT/argile avaient été réalisées avant le développement des cultures, varient de +4,2 €/ha à +330,9 €/ha. </w:t>
      </w:r>
      <w:r w:rsidR="66F7CD0D" w:rsidRPr="30FB3E96">
        <w:rPr>
          <w:rFonts w:eastAsia="Arial" w:cs="Arial"/>
        </w:rPr>
        <w:t>L</w:t>
      </w:r>
      <w:r w:rsidR="1DE2EEEB" w:rsidRPr="30FB3E96">
        <w:rPr>
          <w:rFonts w:eastAsia="Arial" w:cs="Arial"/>
        </w:rPr>
        <w:t xml:space="preserve">e gain moyen </w:t>
      </w:r>
      <w:r w:rsidR="38995F0A" w:rsidRPr="30FB3E96">
        <w:rPr>
          <w:rFonts w:eastAsia="Arial" w:cs="Arial"/>
        </w:rPr>
        <w:t xml:space="preserve">simulé </w:t>
      </w:r>
      <w:r w:rsidR="1DE2EEEB" w:rsidRPr="30FB3E96">
        <w:rPr>
          <w:rFonts w:eastAsia="Arial" w:cs="Arial"/>
        </w:rPr>
        <w:t>s’élève à 158,63 €/ha pour les cinq parcelles où les variations de pH et du ratio COT/argile semblent expliquer une partie des variations de rendement.</w:t>
      </w:r>
    </w:p>
    <w:p w14:paraId="02F16C95" w14:textId="6CCE6E51" w:rsidR="1DE2EEEB" w:rsidRDefault="048C8871" w:rsidP="13C70224">
      <w:pPr>
        <w:spacing w:before="240" w:after="240" w:line="276" w:lineRule="auto"/>
        <w:jc w:val="both"/>
        <w:rPr>
          <w:rFonts w:eastAsia="Arial" w:cs="Arial"/>
        </w:rPr>
      </w:pPr>
      <w:r w:rsidRPr="3BFF6491">
        <w:rPr>
          <w:rFonts w:eastAsia="Arial" w:cs="Arial"/>
        </w:rPr>
        <w:t xml:space="preserve">Si l’on considère désormais l’ensemble des parcelles du projet et que l’on suppose que le bénéfice des applications à doses variables est nul sur les parcelles non citées dans le </w:t>
      </w:r>
      <w:r w:rsidR="4C8DB23C" w:rsidRPr="3BFF6491">
        <w:rPr>
          <w:rFonts w:eastAsia="Arial" w:cs="Arial"/>
        </w:rPr>
        <w:t>tableau 11</w:t>
      </w:r>
      <w:r w:rsidRPr="3BFF6491">
        <w:rPr>
          <w:rFonts w:eastAsia="Arial" w:cs="Arial"/>
        </w:rPr>
        <w:t>, le gain moyen prédit s’élève alors à 54,65 €/ha.</w:t>
      </w:r>
    </w:p>
    <w:p w14:paraId="713DF151" w14:textId="36DD4047" w:rsidR="30D93C8E" w:rsidRDefault="30D93C8E" w:rsidP="13C70224">
      <w:pPr>
        <w:spacing w:line="276" w:lineRule="auto"/>
        <w:jc w:val="both"/>
        <w:rPr>
          <w:rFonts w:eastAsia="Arial" w:cs="Arial"/>
        </w:rPr>
      </w:pPr>
    </w:p>
    <w:p w14:paraId="69288C8E" w14:textId="48B87198" w:rsidR="10F6B56D" w:rsidRDefault="10F6B56D" w:rsidP="13C70224">
      <w:pPr>
        <w:pStyle w:val="Titre4"/>
        <w:spacing w:line="276" w:lineRule="auto"/>
        <w:jc w:val="both"/>
        <w:rPr>
          <w:rFonts w:eastAsia="Arial" w:cs="Arial"/>
        </w:rPr>
      </w:pPr>
      <w:proofErr w:type="spellStart"/>
      <w:r w:rsidRPr="13C70224">
        <w:rPr>
          <w:rFonts w:eastAsia="Arial" w:cs="Arial"/>
        </w:rPr>
        <w:t>ThAuto</w:t>
      </w:r>
      <w:proofErr w:type="spellEnd"/>
    </w:p>
    <w:p w14:paraId="3060464B" w14:textId="5051E850" w:rsidR="30D93C8E" w:rsidRDefault="492525A1" w:rsidP="30FB3E96">
      <w:pPr>
        <w:spacing w:before="240" w:after="240" w:line="276" w:lineRule="auto"/>
        <w:jc w:val="both"/>
        <w:rPr>
          <w:rFonts w:eastAsia="Arial" w:cs="Arial"/>
        </w:rPr>
      </w:pPr>
      <w:r w:rsidRPr="30FB3E96">
        <w:rPr>
          <w:rFonts w:eastAsia="Arial" w:cs="Arial"/>
        </w:rPr>
        <w:t xml:space="preserve">Le cas de la parcelle </w:t>
      </w:r>
      <w:proofErr w:type="spellStart"/>
      <w:r w:rsidRPr="30FB3E96">
        <w:rPr>
          <w:rFonts w:eastAsia="Arial" w:cs="Arial"/>
        </w:rPr>
        <w:t>ThAuto</w:t>
      </w:r>
      <w:proofErr w:type="spellEnd"/>
      <w:r w:rsidRPr="30FB3E96">
        <w:rPr>
          <w:rFonts w:eastAsia="Arial" w:cs="Arial"/>
        </w:rPr>
        <w:t xml:space="preserve"> est analysé plus en détail dans </w:t>
      </w:r>
      <w:r w:rsidR="12A331B3" w:rsidRPr="30FB3E96">
        <w:rPr>
          <w:rFonts w:eastAsia="Arial" w:cs="Arial"/>
        </w:rPr>
        <w:t>cette sous-section du rapport</w:t>
      </w:r>
      <w:r w:rsidRPr="30FB3E96">
        <w:rPr>
          <w:rFonts w:eastAsia="Arial" w:cs="Arial"/>
        </w:rPr>
        <w:t>, car elle constitue un</w:t>
      </w:r>
      <w:r w:rsidR="2E88F5F1" w:rsidRPr="30FB3E96">
        <w:rPr>
          <w:rFonts w:eastAsia="Arial" w:cs="Arial"/>
        </w:rPr>
        <w:t xml:space="preserve"> bon</w:t>
      </w:r>
      <w:r w:rsidRPr="30FB3E96">
        <w:rPr>
          <w:rFonts w:eastAsia="Arial" w:cs="Arial"/>
        </w:rPr>
        <w:t xml:space="preserve"> exemple du bénéfice potentiel d’une correction du pH sur le rendement à court terme.</w:t>
      </w:r>
      <w:r w:rsidR="707C3505" w:rsidRPr="30FB3E96">
        <w:rPr>
          <w:rFonts w:eastAsia="Arial" w:cs="Arial"/>
        </w:rPr>
        <w:t xml:space="preserve"> Ensuite, la quantité de données </w:t>
      </w:r>
      <w:r w:rsidR="1AB30F17" w:rsidRPr="30FB3E96">
        <w:rPr>
          <w:rFonts w:eastAsia="Arial" w:cs="Arial"/>
        </w:rPr>
        <w:t xml:space="preserve">accumulé sur </w:t>
      </w:r>
      <w:proofErr w:type="spellStart"/>
      <w:r w:rsidR="5D88D8EA" w:rsidRPr="30FB3E96">
        <w:rPr>
          <w:rFonts w:eastAsia="Arial" w:cs="Arial"/>
        </w:rPr>
        <w:t>ThAuto</w:t>
      </w:r>
      <w:proofErr w:type="spellEnd"/>
      <w:r w:rsidR="7FD0533C" w:rsidRPr="30FB3E96">
        <w:rPr>
          <w:rFonts w:eastAsia="Arial" w:cs="Arial"/>
        </w:rPr>
        <w:t xml:space="preserve"> permet d’avoir</w:t>
      </w:r>
      <w:r w:rsidR="726C4B33" w:rsidRPr="30FB3E96">
        <w:rPr>
          <w:rFonts w:eastAsia="Arial" w:cs="Arial"/>
        </w:rPr>
        <w:t>.</w:t>
      </w:r>
      <w:r w:rsidR="40C449FA" w:rsidRPr="30FB3E96">
        <w:rPr>
          <w:rFonts w:eastAsia="Arial" w:cs="Arial"/>
        </w:rPr>
        <w:t xml:space="preserve"> </w:t>
      </w:r>
    </w:p>
    <w:p w14:paraId="6691D20B" w14:textId="4AADCD22" w:rsidR="30D93C8E" w:rsidRDefault="3078CB67" w:rsidP="13C70224">
      <w:pPr>
        <w:spacing w:line="276" w:lineRule="auto"/>
        <w:jc w:val="both"/>
        <w:rPr>
          <w:rFonts w:eastAsia="Arial" w:cs="Arial"/>
        </w:rPr>
      </w:pPr>
      <w:r w:rsidRPr="30FB3E96">
        <w:rPr>
          <w:rFonts w:eastAsia="Arial" w:cs="Arial"/>
        </w:rPr>
        <w:lastRenderedPageBreak/>
        <w:t>Premièrem</w:t>
      </w:r>
      <w:r w:rsidR="40C449FA" w:rsidRPr="30FB3E96">
        <w:rPr>
          <w:rFonts w:eastAsia="Arial" w:cs="Arial"/>
        </w:rPr>
        <w:t>e</w:t>
      </w:r>
      <w:r w:rsidRPr="30FB3E96">
        <w:rPr>
          <w:rFonts w:eastAsia="Arial" w:cs="Arial"/>
        </w:rPr>
        <w:t>nt</w:t>
      </w:r>
      <w:r w:rsidR="40C449FA" w:rsidRPr="30FB3E96">
        <w:rPr>
          <w:rFonts w:eastAsia="Arial" w:cs="Arial"/>
        </w:rPr>
        <w:t>,</w:t>
      </w:r>
      <w:r w:rsidR="2C7F0EC1" w:rsidRPr="30FB3E96">
        <w:rPr>
          <w:rFonts w:eastAsia="Arial" w:cs="Arial"/>
        </w:rPr>
        <w:t xml:space="preserve"> </w:t>
      </w:r>
      <w:r w:rsidR="4A4840CC" w:rsidRPr="30FB3E96">
        <w:rPr>
          <w:rFonts w:eastAsia="Arial" w:cs="Arial"/>
        </w:rPr>
        <w:t xml:space="preserve">des </w:t>
      </w:r>
      <w:r w:rsidR="2C7F0EC1" w:rsidRPr="30FB3E96">
        <w:rPr>
          <w:rFonts w:eastAsia="Arial" w:cs="Arial"/>
        </w:rPr>
        <w:t>cartes de rendement sont disponibles pour la saison 2022, 2023 et 2025</w:t>
      </w:r>
      <w:r w:rsidR="7186EA03" w:rsidRPr="30FB3E96">
        <w:rPr>
          <w:rFonts w:eastAsia="Arial" w:cs="Arial"/>
        </w:rPr>
        <w:t xml:space="preserve"> sur cette parcelle</w:t>
      </w:r>
      <w:r w:rsidR="12208A03" w:rsidRPr="30FB3E96">
        <w:rPr>
          <w:rFonts w:eastAsia="Arial" w:cs="Arial"/>
        </w:rPr>
        <w:t xml:space="preserve"> permettant de suivre </w:t>
      </w:r>
      <w:r w:rsidR="188A2714" w:rsidRPr="30FB3E96">
        <w:rPr>
          <w:rFonts w:eastAsia="Arial" w:cs="Arial"/>
        </w:rPr>
        <w:t>concrètement l’</w:t>
      </w:r>
      <w:r w:rsidR="12208A03" w:rsidRPr="30FB3E96">
        <w:rPr>
          <w:rFonts w:eastAsia="Arial" w:cs="Arial"/>
        </w:rPr>
        <w:t xml:space="preserve">effet potentiel des </w:t>
      </w:r>
      <w:r w:rsidR="0416E46B" w:rsidRPr="30FB3E96">
        <w:rPr>
          <w:rFonts w:eastAsia="Arial" w:cs="Arial"/>
        </w:rPr>
        <w:t xml:space="preserve">application applications variables des intrants </w:t>
      </w:r>
      <w:r w:rsidR="4B292702" w:rsidRPr="30FB3E96">
        <w:rPr>
          <w:rFonts w:eastAsia="Arial" w:cs="Arial"/>
        </w:rPr>
        <w:t>sur le rendement</w:t>
      </w:r>
      <w:r w:rsidR="2C7F0EC1" w:rsidRPr="30FB3E96">
        <w:rPr>
          <w:rFonts w:eastAsia="Arial" w:cs="Arial"/>
        </w:rPr>
        <w:t>.</w:t>
      </w:r>
      <w:r w:rsidR="0B5543F2" w:rsidRPr="30FB3E96">
        <w:rPr>
          <w:rFonts w:eastAsia="Arial" w:cs="Arial"/>
        </w:rPr>
        <w:t xml:space="preserve"> Ensuite, des modulations d’écume de sucrerie et de matière organique ont été réalisées sur cette parcelle.</w:t>
      </w:r>
      <w:r w:rsidR="7DBA3393" w:rsidRPr="30FB3E96">
        <w:rPr>
          <w:rFonts w:eastAsia="Arial" w:cs="Arial"/>
        </w:rPr>
        <w:t xml:space="preserve"> </w:t>
      </w:r>
      <w:r w:rsidR="56873297" w:rsidRPr="30FB3E96">
        <w:rPr>
          <w:rFonts w:eastAsia="Arial" w:cs="Arial"/>
        </w:rPr>
        <w:t>Aussi, deux campagnes d’analyses de sol ont été réalisé</w:t>
      </w:r>
      <w:r w:rsidR="7BFE37DC" w:rsidRPr="30FB3E96">
        <w:rPr>
          <w:rFonts w:eastAsia="Arial" w:cs="Arial"/>
        </w:rPr>
        <w:t xml:space="preserve"> sur </w:t>
      </w:r>
      <w:proofErr w:type="spellStart"/>
      <w:proofErr w:type="gramStart"/>
      <w:r w:rsidR="7BFE37DC" w:rsidRPr="30FB3E96">
        <w:rPr>
          <w:rFonts w:eastAsia="Arial" w:cs="Arial"/>
        </w:rPr>
        <w:t>ThAuto</w:t>
      </w:r>
      <w:proofErr w:type="spellEnd"/>
      <w:r w:rsidR="7BFE37DC" w:rsidRPr="30FB3E96">
        <w:rPr>
          <w:rFonts w:eastAsia="Arial" w:cs="Arial"/>
        </w:rPr>
        <w:t>;</w:t>
      </w:r>
      <w:proofErr w:type="gramEnd"/>
      <w:r w:rsidR="1ADD911B" w:rsidRPr="30FB3E96">
        <w:rPr>
          <w:rFonts w:eastAsia="Arial" w:cs="Arial"/>
        </w:rPr>
        <w:t xml:space="preserve"> avant et après modulation</w:t>
      </w:r>
      <w:r w:rsidR="07911F5E" w:rsidRPr="30FB3E96">
        <w:rPr>
          <w:rFonts w:eastAsia="Arial" w:cs="Arial"/>
        </w:rPr>
        <w:t>,</w:t>
      </w:r>
      <w:r w:rsidR="56873297" w:rsidRPr="30FB3E96">
        <w:rPr>
          <w:rFonts w:eastAsia="Arial" w:cs="Arial"/>
        </w:rPr>
        <w:t xml:space="preserve"> permettant </w:t>
      </w:r>
      <w:r w:rsidR="59744825" w:rsidRPr="30FB3E96">
        <w:rPr>
          <w:rFonts w:eastAsia="Arial" w:cs="Arial"/>
        </w:rPr>
        <w:t xml:space="preserve">d’avoir des explications sur l’évolution </w:t>
      </w:r>
      <w:r w:rsidR="36533A3A" w:rsidRPr="30FB3E96">
        <w:rPr>
          <w:rFonts w:eastAsia="Arial" w:cs="Arial"/>
        </w:rPr>
        <w:t>concrète</w:t>
      </w:r>
      <w:r w:rsidR="59744825" w:rsidRPr="30FB3E96">
        <w:rPr>
          <w:rFonts w:eastAsia="Arial" w:cs="Arial"/>
        </w:rPr>
        <w:t xml:space="preserve"> du sol</w:t>
      </w:r>
      <w:r w:rsidR="56873297" w:rsidRPr="30FB3E96">
        <w:rPr>
          <w:rFonts w:eastAsia="Arial" w:cs="Arial"/>
        </w:rPr>
        <w:t xml:space="preserve">. </w:t>
      </w:r>
    </w:p>
    <w:p w14:paraId="78331405" w14:textId="76868FC1" w:rsidR="429684FB" w:rsidRDefault="3FA89101" w:rsidP="13C70224">
      <w:pPr>
        <w:spacing w:line="276" w:lineRule="auto"/>
        <w:jc w:val="both"/>
        <w:rPr>
          <w:rFonts w:eastAsia="Arial" w:cs="Arial"/>
        </w:rPr>
      </w:pPr>
      <w:r w:rsidRPr="3BFF6491">
        <w:rPr>
          <w:rFonts w:eastAsia="Arial" w:cs="Arial"/>
        </w:rPr>
        <w:t xml:space="preserve">Les prédictions de rendement du froment issues des différents scénarios envisagés pour la parcelle </w:t>
      </w:r>
      <w:proofErr w:type="spellStart"/>
      <w:r w:rsidRPr="3BFF6491">
        <w:rPr>
          <w:rFonts w:eastAsia="Arial" w:cs="Arial"/>
        </w:rPr>
        <w:t>ThAuto</w:t>
      </w:r>
      <w:proofErr w:type="spellEnd"/>
      <w:r w:rsidRPr="3BFF6491">
        <w:rPr>
          <w:rFonts w:eastAsia="Arial" w:cs="Arial"/>
        </w:rPr>
        <w:t xml:space="preserve"> lors de la saison 2022 sont présentées dans la Figure </w:t>
      </w:r>
      <w:r w:rsidR="79395C3C" w:rsidRPr="3BFF6491">
        <w:rPr>
          <w:rFonts w:eastAsia="Arial" w:cs="Arial"/>
        </w:rPr>
        <w:t>36</w:t>
      </w:r>
      <w:r w:rsidRPr="3BFF6491">
        <w:rPr>
          <w:rFonts w:eastAsia="Arial" w:cs="Arial"/>
        </w:rPr>
        <w:t>.</w:t>
      </w:r>
    </w:p>
    <w:p w14:paraId="52115D1A" w14:textId="4DE6C70F" w:rsidR="6792121E" w:rsidRDefault="6792121E" w:rsidP="13C70224">
      <w:pPr>
        <w:spacing w:before="240" w:after="240" w:line="276" w:lineRule="auto"/>
        <w:jc w:val="both"/>
        <w:rPr>
          <w:rFonts w:eastAsia="Arial" w:cs="Arial"/>
          <w:highlight w:val="yellow"/>
        </w:rPr>
      </w:pPr>
      <w:r>
        <w:rPr>
          <w:noProof/>
        </w:rPr>
        <w:drawing>
          <wp:inline distT="0" distB="0" distL="0" distR="0" wp14:anchorId="26D7CCE5" wp14:editId="5FB245C8">
            <wp:extent cx="5724525" cy="1781175"/>
            <wp:effectExtent l="0" t="0" r="9525" b="9525"/>
            <wp:docPr id="5049689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968997" name=""/>
                    <pic:cNvPicPr/>
                  </pic:nvPicPr>
                  <pic:blipFill>
                    <a:blip r:embed="rId48" cstate="screen">
                      <a:extLst>
                        <a:ext uri="{28A0092B-C50C-407E-A947-70E740481C1C}">
                          <a14:useLocalDpi xmlns:a14="http://schemas.microsoft.com/office/drawing/2010/main"/>
                        </a:ext>
                      </a:extLst>
                    </a:blip>
                    <a:stretch>
                      <a:fillRect/>
                    </a:stretch>
                  </pic:blipFill>
                  <pic:spPr>
                    <a:xfrm>
                      <a:off x="0" y="0"/>
                      <a:ext cx="5724525" cy="1781175"/>
                    </a:xfrm>
                    <a:prstGeom prst="rect">
                      <a:avLst/>
                    </a:prstGeom>
                  </pic:spPr>
                </pic:pic>
              </a:graphicData>
            </a:graphic>
          </wp:inline>
        </w:drawing>
      </w:r>
    </w:p>
    <w:p w14:paraId="10AFE3BA" w14:textId="2E06555F" w:rsidR="6792121E" w:rsidRDefault="74D030F1" w:rsidP="3BFF6491">
      <w:pPr>
        <w:pStyle w:val="Lgende"/>
        <w:spacing w:line="276" w:lineRule="auto"/>
        <w:jc w:val="both"/>
        <w:rPr>
          <w:rFonts w:eastAsia="Arial" w:cs="Arial"/>
        </w:rPr>
      </w:pPr>
      <w:r w:rsidRPr="3BFF6491">
        <w:rPr>
          <w:rFonts w:eastAsia="Arial" w:cs="Arial"/>
        </w:rPr>
        <w:t xml:space="preserve">Figure </w:t>
      </w:r>
      <w:r w:rsidR="5A321E8B" w:rsidRPr="3BFF6491">
        <w:rPr>
          <w:rFonts w:eastAsia="Arial" w:cs="Arial"/>
        </w:rPr>
        <w:t>36.</w:t>
      </w:r>
      <w:r w:rsidRPr="3BFF6491">
        <w:rPr>
          <w:rFonts w:eastAsia="Arial" w:cs="Arial"/>
        </w:rPr>
        <w:t xml:space="preserve"> Comparaison entre la prédiction des rendements (t/ha) de froment brut de </w:t>
      </w:r>
      <w:proofErr w:type="spellStart"/>
      <w:r w:rsidRPr="3BFF6491">
        <w:rPr>
          <w:rFonts w:eastAsia="Arial" w:cs="Arial"/>
        </w:rPr>
        <w:t>ThAuto</w:t>
      </w:r>
      <w:proofErr w:type="spellEnd"/>
      <w:r w:rsidRPr="3BFF6491">
        <w:rPr>
          <w:rFonts w:eastAsia="Arial" w:cs="Arial"/>
        </w:rPr>
        <w:t xml:space="preserve"> lors de la saison 2022 et les prédictions issues des simulations pour les scénarios de modification du pH, des scénarios sur l‘amélioration du COT/argile et sur un scénario comprenant à la fois la modification du pH et une amélioration du COT/argile.   </w:t>
      </w:r>
    </w:p>
    <w:p w14:paraId="19F5991A" w14:textId="48299895" w:rsidR="69D0542E" w:rsidRDefault="511F60E7" w:rsidP="13C70224">
      <w:pPr>
        <w:spacing w:before="240" w:after="240" w:line="276" w:lineRule="auto"/>
        <w:jc w:val="both"/>
        <w:rPr>
          <w:rFonts w:eastAsia="Arial" w:cs="Arial"/>
          <w:szCs w:val="20"/>
        </w:rPr>
      </w:pPr>
      <w:r w:rsidRPr="3BFF6491">
        <w:rPr>
          <w:rFonts w:eastAsia="Arial" w:cs="Arial"/>
          <w:szCs w:val="20"/>
        </w:rPr>
        <w:t xml:space="preserve">Dans le scénario de référence (carte la plus à gauche dans la figure </w:t>
      </w:r>
      <w:r w:rsidR="4D6C3F5B" w:rsidRPr="3BFF6491">
        <w:rPr>
          <w:rFonts w:eastAsia="Arial" w:cs="Arial"/>
          <w:szCs w:val="20"/>
        </w:rPr>
        <w:t>36</w:t>
      </w:r>
      <w:r w:rsidRPr="3BFF6491">
        <w:rPr>
          <w:rFonts w:eastAsia="Arial" w:cs="Arial"/>
          <w:szCs w:val="20"/>
        </w:rPr>
        <w:t xml:space="preserve">), c’est-à-dire sans modification du pH ni du ratio COT/argile, une bande de rendement plus faible est observée dans la partie nord-est de la parcelle. Cette zone correspond également à une zone plus acide visible sur les cartes de pH de la parcelle. Le remembrement réalisé en 2021 sur </w:t>
      </w:r>
      <w:proofErr w:type="spellStart"/>
      <w:r w:rsidRPr="3BFF6491">
        <w:rPr>
          <w:rFonts w:eastAsia="Arial" w:cs="Arial"/>
          <w:szCs w:val="20"/>
        </w:rPr>
        <w:t>ThAuto</w:t>
      </w:r>
      <w:proofErr w:type="spellEnd"/>
      <w:r w:rsidRPr="3BFF6491">
        <w:rPr>
          <w:rFonts w:eastAsia="Arial" w:cs="Arial"/>
          <w:szCs w:val="20"/>
        </w:rPr>
        <w:t xml:space="preserve"> peut expliquer ces hétérogénéités, la zone la plus acide correspondant à un ancien découpage parcellaire. Les variations de pH associées à cet ancien parcellaire contribuent ainsi à expliquer les différences de rendement observées.</w:t>
      </w:r>
      <w:r w:rsidR="4FEFE6D3" w:rsidRPr="3BFF6491">
        <w:rPr>
          <w:rFonts w:eastAsia="Arial" w:cs="Arial"/>
          <w:szCs w:val="20"/>
        </w:rPr>
        <w:t xml:space="preserve"> </w:t>
      </w:r>
      <w:r w:rsidRPr="3BFF6491">
        <w:rPr>
          <w:rFonts w:eastAsia="Arial" w:cs="Arial"/>
          <w:szCs w:val="20"/>
        </w:rPr>
        <w:t>Dans le scénario de correction du pH, cette bande plus acide disparaît et les rendements deviennent plus homogènes sur l’ensemble de la parcelle, avec des valeurs majoritairement comprises entre 8,</w:t>
      </w:r>
      <w:r w:rsidR="09902DF9" w:rsidRPr="3BFF6491">
        <w:rPr>
          <w:rFonts w:eastAsia="Arial" w:cs="Arial"/>
          <w:szCs w:val="20"/>
        </w:rPr>
        <w:t>3</w:t>
      </w:r>
      <w:r w:rsidRPr="3BFF6491">
        <w:rPr>
          <w:rFonts w:eastAsia="Arial" w:cs="Arial"/>
          <w:szCs w:val="20"/>
        </w:rPr>
        <w:t xml:space="preserve"> et 8,9 t/ha.</w:t>
      </w:r>
    </w:p>
    <w:p w14:paraId="418C4A0E" w14:textId="3C22B3A0" w:rsidR="30D93C8E" w:rsidRDefault="7D0539DF" w:rsidP="13C70224">
      <w:pPr>
        <w:spacing w:before="240" w:after="240" w:line="276" w:lineRule="auto"/>
        <w:jc w:val="both"/>
        <w:rPr>
          <w:rFonts w:eastAsia="Arial" w:cs="Arial"/>
        </w:rPr>
      </w:pPr>
      <w:r w:rsidRPr="13C70224">
        <w:rPr>
          <w:rFonts w:eastAsia="Arial" w:cs="Arial"/>
        </w:rPr>
        <w:t>U</w:t>
      </w:r>
      <w:r w:rsidR="3017F26A" w:rsidRPr="13C70224">
        <w:rPr>
          <w:rFonts w:eastAsia="Arial" w:cs="Arial"/>
        </w:rPr>
        <w:t xml:space="preserve">n </w:t>
      </w:r>
      <w:r w:rsidR="45E566E8" w:rsidRPr="13C70224">
        <w:rPr>
          <w:rFonts w:eastAsia="Arial" w:cs="Arial"/>
        </w:rPr>
        <w:t>gain</w:t>
      </w:r>
      <w:r w:rsidR="3017F26A" w:rsidRPr="13C70224">
        <w:rPr>
          <w:rFonts w:eastAsia="Arial" w:cs="Arial"/>
        </w:rPr>
        <w:t xml:space="preserve"> de +324.7 €/ha</w:t>
      </w:r>
      <w:r w:rsidR="4159A214" w:rsidRPr="13C70224">
        <w:rPr>
          <w:rFonts w:eastAsia="Arial" w:cs="Arial"/>
        </w:rPr>
        <w:t xml:space="preserve"> aurait pu être dégagé si les </w:t>
      </w:r>
      <w:r w:rsidR="170E00F3" w:rsidRPr="13C70224">
        <w:rPr>
          <w:rFonts w:eastAsia="Arial" w:cs="Arial"/>
        </w:rPr>
        <w:t>variations spatiale</w:t>
      </w:r>
      <w:r w:rsidR="5844DB73" w:rsidRPr="13C70224">
        <w:rPr>
          <w:rFonts w:eastAsia="Arial" w:cs="Arial"/>
        </w:rPr>
        <w:t xml:space="preserve">s </w:t>
      </w:r>
      <w:r w:rsidR="4159A214" w:rsidRPr="13C70224">
        <w:rPr>
          <w:rFonts w:eastAsia="Arial" w:cs="Arial"/>
        </w:rPr>
        <w:t>d</w:t>
      </w:r>
      <w:r w:rsidR="58EB3570" w:rsidRPr="13C70224">
        <w:rPr>
          <w:rFonts w:eastAsia="Arial" w:cs="Arial"/>
        </w:rPr>
        <w:t>u</w:t>
      </w:r>
      <w:r w:rsidR="4159A214" w:rsidRPr="13C70224">
        <w:rPr>
          <w:rFonts w:eastAsia="Arial" w:cs="Arial"/>
        </w:rPr>
        <w:t xml:space="preserve"> pH avaient </w:t>
      </w:r>
      <w:r w:rsidR="0EA7418E" w:rsidRPr="13C70224">
        <w:rPr>
          <w:rFonts w:eastAsia="Arial" w:cs="Arial"/>
        </w:rPr>
        <w:t>été</w:t>
      </w:r>
      <w:r w:rsidR="4159A214" w:rsidRPr="13C70224">
        <w:rPr>
          <w:rFonts w:eastAsia="Arial" w:cs="Arial"/>
        </w:rPr>
        <w:t xml:space="preserve"> réduites</w:t>
      </w:r>
      <w:r w:rsidR="0146547E" w:rsidRPr="13C70224">
        <w:rPr>
          <w:rFonts w:eastAsia="Arial" w:cs="Arial"/>
        </w:rPr>
        <w:t xml:space="preserve"> avant le développement de la culture</w:t>
      </w:r>
      <w:r w:rsidR="4159A214" w:rsidRPr="13C70224">
        <w:rPr>
          <w:rFonts w:eastAsia="Arial" w:cs="Arial"/>
        </w:rPr>
        <w:t>.</w:t>
      </w:r>
      <w:r w:rsidR="4E742E8F" w:rsidRPr="13C70224">
        <w:rPr>
          <w:rFonts w:eastAsia="Arial" w:cs="Arial"/>
        </w:rPr>
        <w:t xml:space="preserve"> </w:t>
      </w:r>
      <w:r w:rsidR="7859FB20" w:rsidRPr="13C70224">
        <w:rPr>
          <w:rFonts w:eastAsia="Arial" w:cs="Arial"/>
        </w:rPr>
        <w:t>L</w:t>
      </w:r>
      <w:r w:rsidR="07D67B81" w:rsidRPr="13C70224">
        <w:rPr>
          <w:rFonts w:eastAsia="Arial" w:cs="Arial"/>
        </w:rPr>
        <w:t xml:space="preserve">'effet d’une amélioration </w:t>
      </w:r>
      <w:r w:rsidR="018FE4FB" w:rsidRPr="13C70224">
        <w:rPr>
          <w:rFonts w:eastAsia="Arial" w:cs="Arial"/>
        </w:rPr>
        <w:t>du ratio COT/Argile</w:t>
      </w:r>
      <w:r w:rsidR="60676673" w:rsidRPr="13C70224">
        <w:rPr>
          <w:rFonts w:eastAsia="Arial" w:cs="Arial"/>
        </w:rPr>
        <w:t xml:space="preserve"> sur les rendements</w:t>
      </w:r>
      <w:r w:rsidR="12D0881B" w:rsidRPr="13C70224">
        <w:rPr>
          <w:rFonts w:eastAsia="Arial" w:cs="Arial"/>
        </w:rPr>
        <w:t xml:space="preserve"> </w:t>
      </w:r>
      <w:r w:rsidR="1C7549D8" w:rsidRPr="13C70224">
        <w:rPr>
          <w:rFonts w:eastAsia="Arial" w:cs="Arial"/>
        </w:rPr>
        <w:t xml:space="preserve">est plus subtile </w:t>
      </w:r>
      <w:r w:rsidR="118D2DD7" w:rsidRPr="13C70224">
        <w:rPr>
          <w:rFonts w:eastAsia="Arial" w:cs="Arial"/>
        </w:rPr>
        <w:t>avec</w:t>
      </w:r>
      <w:r w:rsidR="50C884E3" w:rsidRPr="13C70224">
        <w:rPr>
          <w:rFonts w:eastAsia="Arial" w:cs="Arial"/>
        </w:rPr>
        <w:t xml:space="preserve"> +24.5 €/ha </w:t>
      </w:r>
      <w:r w:rsidR="0628FC54" w:rsidRPr="13C70224">
        <w:rPr>
          <w:rFonts w:eastAsia="Arial" w:cs="Arial"/>
        </w:rPr>
        <w:t>dégagé</w:t>
      </w:r>
      <w:r w:rsidR="50C884E3" w:rsidRPr="13C70224">
        <w:rPr>
          <w:rFonts w:eastAsia="Arial" w:cs="Arial"/>
        </w:rPr>
        <w:t xml:space="preserve"> par une amélioration du ratio</w:t>
      </w:r>
      <w:r w:rsidR="237B2BA3" w:rsidRPr="13C70224">
        <w:rPr>
          <w:rFonts w:eastAsia="Arial" w:cs="Arial"/>
        </w:rPr>
        <w:t xml:space="preserve"> avant croissance</w:t>
      </w:r>
      <w:r w:rsidR="50C884E3" w:rsidRPr="13C70224">
        <w:rPr>
          <w:rFonts w:eastAsia="Arial" w:cs="Arial"/>
        </w:rPr>
        <w:t>.</w:t>
      </w:r>
    </w:p>
    <w:p w14:paraId="04DDCBFF" w14:textId="3D99CFAB" w:rsidR="31B6687F" w:rsidRDefault="6C19AE1F" w:rsidP="3BFF6491">
      <w:pPr>
        <w:spacing w:before="240" w:after="240" w:line="276" w:lineRule="auto"/>
        <w:rPr>
          <w:rFonts w:eastAsia="Arial" w:cs="Arial"/>
          <w:color w:val="000000" w:themeColor="text1"/>
          <w:szCs w:val="20"/>
        </w:rPr>
      </w:pPr>
      <w:r w:rsidRPr="3BFF6491">
        <w:rPr>
          <w:rFonts w:eastAsia="Arial" w:cs="Arial"/>
          <w:color w:val="000000" w:themeColor="text1"/>
          <w:szCs w:val="20"/>
        </w:rPr>
        <w:t xml:space="preserve">Les cartes de rendement obtenues lors des saisons 2023 en maïs et 2025 en épeautre peuvent éclairer les résultats de ces simulations. Les cartes de rendement pour les trois saisons sont présentées dans la </w:t>
      </w:r>
      <w:r w:rsidR="6A0EBD77" w:rsidRPr="3BFF6491">
        <w:rPr>
          <w:rFonts w:eastAsia="Arial" w:cs="Arial"/>
          <w:color w:val="000000" w:themeColor="text1"/>
          <w:szCs w:val="20"/>
        </w:rPr>
        <w:t>figure 37.</w:t>
      </w:r>
    </w:p>
    <w:p w14:paraId="12E28E24" w14:textId="6043B892" w:rsidR="624D799F" w:rsidRDefault="2A3DE7C6" w:rsidP="3BFF6491">
      <w:pPr>
        <w:spacing w:line="276" w:lineRule="auto"/>
        <w:jc w:val="both"/>
        <w:rPr>
          <w:rFonts w:eastAsia="Arial" w:cs="Arial"/>
          <w:i/>
          <w:iCs/>
          <w:color w:val="1F497D"/>
          <w:sz w:val="18"/>
          <w:szCs w:val="18"/>
        </w:rPr>
      </w:pPr>
      <w:r>
        <w:rPr>
          <w:noProof/>
        </w:rPr>
        <w:lastRenderedPageBreak/>
        <w:drawing>
          <wp:inline distT="0" distB="0" distL="0" distR="0" wp14:anchorId="4B48D9D0" wp14:editId="1432BDBA">
            <wp:extent cx="5724525" cy="2152650"/>
            <wp:effectExtent l="0" t="0" r="9525" b="0"/>
            <wp:docPr id="9602695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640220" name=""/>
                    <pic:cNvPicPr/>
                  </pic:nvPicPr>
                  <pic:blipFill>
                    <a:blip r:embed="rId49" cstate="screen">
                      <a:extLst>
                        <a:ext uri="{28A0092B-C50C-407E-A947-70E740481C1C}">
                          <a14:useLocalDpi xmlns:a14="http://schemas.microsoft.com/office/drawing/2010/main"/>
                        </a:ext>
                      </a:extLst>
                    </a:blip>
                    <a:stretch>
                      <a:fillRect/>
                    </a:stretch>
                  </pic:blipFill>
                  <pic:spPr>
                    <a:xfrm>
                      <a:off x="0" y="0"/>
                      <a:ext cx="5724525" cy="2152650"/>
                    </a:xfrm>
                    <a:prstGeom prst="rect">
                      <a:avLst/>
                    </a:prstGeom>
                  </pic:spPr>
                </pic:pic>
              </a:graphicData>
            </a:graphic>
          </wp:inline>
        </w:drawing>
      </w:r>
      <w:r w:rsidR="5F333AEF" w:rsidRPr="3BFF6491">
        <w:rPr>
          <w:rFonts w:eastAsia="Arial" w:cs="Arial"/>
          <w:i/>
          <w:iCs/>
          <w:color w:val="1F497D"/>
          <w:sz w:val="18"/>
          <w:szCs w:val="18"/>
        </w:rPr>
        <w:t xml:space="preserve">Figure 37. </w:t>
      </w:r>
      <w:r w:rsidR="0FD9C24E" w:rsidRPr="3BFF6491">
        <w:rPr>
          <w:rFonts w:eastAsia="Arial" w:cs="Arial"/>
          <w:i/>
          <w:iCs/>
          <w:color w:val="1F497D"/>
          <w:sz w:val="18"/>
          <w:szCs w:val="18"/>
        </w:rPr>
        <w:t xml:space="preserve">Carte de rendement réelles observés de froment (2022), de maïs grain (2023) et d’épeautre (2025) sur </w:t>
      </w:r>
      <w:proofErr w:type="spellStart"/>
      <w:r w:rsidR="0FD9C24E" w:rsidRPr="3BFF6491">
        <w:rPr>
          <w:rFonts w:eastAsia="Arial" w:cs="Arial"/>
          <w:i/>
          <w:iCs/>
          <w:color w:val="1F497D"/>
          <w:sz w:val="18"/>
          <w:szCs w:val="18"/>
        </w:rPr>
        <w:t>ThAuto</w:t>
      </w:r>
      <w:proofErr w:type="spellEnd"/>
    </w:p>
    <w:p w14:paraId="569B9F93" w14:textId="11AD155A" w:rsidR="015F4998" w:rsidRDefault="015F4998" w:rsidP="13C70224">
      <w:pPr>
        <w:spacing w:before="240" w:after="240" w:line="276" w:lineRule="auto"/>
        <w:rPr>
          <w:rFonts w:eastAsia="Arial" w:cs="Arial"/>
          <w:color w:val="000000" w:themeColor="text1"/>
          <w:szCs w:val="20"/>
        </w:rPr>
      </w:pPr>
      <w:r w:rsidRPr="13C70224">
        <w:rPr>
          <w:rFonts w:eastAsia="Arial" w:cs="Arial"/>
          <w:color w:val="000000" w:themeColor="text1"/>
          <w:szCs w:val="20"/>
        </w:rPr>
        <w:t xml:space="preserve">Ces cartes montrent qu’avant la correction du pH réalisée en 2024, les rendements observés en 2022 et 2023 étaient clairement influencées par l’ancien parcellaire ainsi que par la bande plus acide située le long du bord nord-est de la parcelle. En 2025, après la correction du pH, cette bande est beaucoup moins visible sur les cartes de rendement, ce qui pourrait confirmer l’effet positif d’une homogénéisation du pH sur la parcelle </w:t>
      </w:r>
      <w:proofErr w:type="spellStart"/>
      <w:r w:rsidRPr="13C70224">
        <w:rPr>
          <w:rFonts w:eastAsia="Arial" w:cs="Arial"/>
          <w:color w:val="000000" w:themeColor="text1"/>
          <w:szCs w:val="20"/>
        </w:rPr>
        <w:t>ThAuto</w:t>
      </w:r>
      <w:proofErr w:type="spellEnd"/>
      <w:r w:rsidRPr="13C70224">
        <w:rPr>
          <w:rFonts w:eastAsia="Arial" w:cs="Arial"/>
          <w:color w:val="000000" w:themeColor="text1"/>
          <w:szCs w:val="20"/>
        </w:rPr>
        <w:t>.</w:t>
      </w:r>
    </w:p>
    <w:p w14:paraId="0059B4C8" w14:textId="73D65A37" w:rsidR="015F4998" w:rsidRDefault="0FD9C24E" w:rsidP="3BFF6491">
      <w:pPr>
        <w:spacing w:before="240" w:after="240" w:line="276" w:lineRule="auto"/>
        <w:rPr>
          <w:rFonts w:eastAsia="Arial" w:cs="Arial"/>
          <w:color w:val="000000" w:themeColor="text1"/>
          <w:szCs w:val="20"/>
        </w:rPr>
      </w:pPr>
      <w:r w:rsidRPr="3BFF6491">
        <w:rPr>
          <w:rFonts w:eastAsia="Arial" w:cs="Arial"/>
          <w:color w:val="000000" w:themeColor="text1"/>
          <w:szCs w:val="20"/>
        </w:rPr>
        <w:t>Il convient toutefois de noter que l’effet du pH s’est manifesté de manière contrastée selon les cultures en place lors des saisons 2022 et 2023. Cette zone plus acide était associée à des rendements plus faibles de froment en 2022, mais à des rendements plus élevés de maïs en 2023. Cette différence pourrait s’expliquer par une tolérance plus faible du froment aux pH acides comparativement à la culture du maïs</w:t>
      </w:r>
      <w:r w:rsidR="69D0B9C5" w:rsidRPr="3BFF6491">
        <w:rPr>
          <w:rFonts w:eastAsia="Arial" w:cs="Arial"/>
          <w:color w:val="000000" w:themeColor="text1"/>
          <w:szCs w:val="20"/>
        </w:rPr>
        <w:t>.</w:t>
      </w:r>
    </w:p>
    <w:p w14:paraId="3B9EC3CB" w14:textId="54E9F292" w:rsidR="3BFF6491" w:rsidRDefault="3BFF6491" w:rsidP="3BFF6491">
      <w:pPr>
        <w:spacing w:before="240" w:after="240" w:line="276" w:lineRule="auto"/>
        <w:rPr>
          <w:rFonts w:eastAsia="Arial" w:cs="Arial"/>
          <w:color w:val="000000" w:themeColor="text1"/>
          <w:szCs w:val="20"/>
        </w:rPr>
      </w:pPr>
    </w:p>
    <w:p w14:paraId="4A3362D2" w14:textId="10490A01" w:rsidR="62383FD4" w:rsidRDefault="0ED2D5C2" w:rsidP="13C70224">
      <w:pPr>
        <w:pStyle w:val="Titre2"/>
        <w:spacing w:line="276" w:lineRule="auto"/>
        <w:rPr>
          <w:rFonts w:ascii="Arial" w:eastAsia="Arial" w:hAnsi="Arial" w:cs="Arial"/>
        </w:rPr>
      </w:pPr>
      <w:bookmarkStart w:id="29" w:name="_Toc930698191"/>
      <w:r w:rsidRPr="3BFF6491">
        <w:rPr>
          <w:rFonts w:ascii="Arial" w:eastAsia="Arial" w:hAnsi="Arial" w:cs="Arial"/>
        </w:rPr>
        <w:t>Conclusion</w:t>
      </w:r>
      <w:bookmarkEnd w:id="29"/>
    </w:p>
    <w:p w14:paraId="4BCF6969" w14:textId="2365E48E" w:rsidR="7E5679AC" w:rsidRDefault="7E5679AC" w:rsidP="13C70224">
      <w:pPr>
        <w:spacing w:before="240" w:after="240" w:line="276" w:lineRule="auto"/>
        <w:rPr>
          <w:rFonts w:eastAsia="Arial" w:cs="Arial"/>
          <w:szCs w:val="20"/>
        </w:rPr>
      </w:pPr>
      <w:r w:rsidRPr="13C70224">
        <w:rPr>
          <w:rFonts w:eastAsia="Arial" w:cs="Arial"/>
          <w:szCs w:val="20"/>
        </w:rPr>
        <w:t>La principale différence de coût entre la situation de référence et la situation avec application d’intrants à doses variables provient du coût du service de cartographie des sols. Dans la situation de référence, le coût annuel des analyses de sol est estimé à 202,5 € HT/an, tandis que l’utilisation de la solution Veris MSP3 représente un coût annuel de 5 692,5 € HT/an</w:t>
      </w:r>
      <w:r w:rsidR="1C1E33B6" w:rsidRPr="13C70224">
        <w:rPr>
          <w:rFonts w:eastAsia="Arial" w:cs="Arial"/>
          <w:szCs w:val="20"/>
        </w:rPr>
        <w:t xml:space="preserve"> pour une exploitation de 148ha</w:t>
      </w:r>
      <w:r w:rsidRPr="13C70224">
        <w:rPr>
          <w:rFonts w:eastAsia="Arial" w:cs="Arial"/>
          <w:szCs w:val="20"/>
        </w:rPr>
        <w:t>.</w:t>
      </w:r>
      <w:r w:rsidR="74695DCE" w:rsidRPr="13C70224">
        <w:rPr>
          <w:rFonts w:eastAsia="Arial" w:cs="Arial"/>
          <w:szCs w:val="20"/>
        </w:rPr>
        <w:t xml:space="preserve"> </w:t>
      </w:r>
      <w:r w:rsidRPr="13C70224">
        <w:rPr>
          <w:rFonts w:eastAsia="Arial" w:cs="Arial"/>
          <w:szCs w:val="20"/>
        </w:rPr>
        <w:t xml:space="preserve">Toutefois, cette comparaison doit être nuancée. Dans cette analyse, il a été supposé que la cartographie complète des propriétés physico-chimiques du sol </w:t>
      </w:r>
      <w:proofErr w:type="gramStart"/>
      <w:r w:rsidRPr="13C70224">
        <w:rPr>
          <w:rFonts w:eastAsia="Arial" w:cs="Arial"/>
          <w:szCs w:val="20"/>
        </w:rPr>
        <w:t>était</w:t>
      </w:r>
      <w:proofErr w:type="gramEnd"/>
      <w:r w:rsidRPr="13C70224">
        <w:rPr>
          <w:rFonts w:eastAsia="Arial" w:cs="Arial"/>
          <w:szCs w:val="20"/>
        </w:rPr>
        <w:t xml:space="preserve"> réalisée tous les quatre ans, soit à chaque rotation culturale. Cette hypothèse est probablement conservative. En effet, certaines propriétés du sol, comme la texture, sont relativement stables dans le temps. De même, une fois les déséquilibres de pH corrigés, leur variabilité spatiale évolue généralement lentement. La cartographie du sol s’inscrit donc plutôt dans une logique d’investissement ponctuel, dont les bénéfices peuvent être valorisés sur plusieurs années.</w:t>
      </w:r>
    </w:p>
    <w:p w14:paraId="3D477A5B" w14:textId="6270BD1C" w:rsidR="7E5679AC" w:rsidRDefault="7E5679AC" w:rsidP="13C70224">
      <w:pPr>
        <w:spacing w:before="240" w:after="240" w:line="276" w:lineRule="auto"/>
        <w:rPr>
          <w:rFonts w:eastAsia="Arial" w:cs="Arial"/>
          <w:szCs w:val="20"/>
        </w:rPr>
      </w:pPr>
      <w:r w:rsidRPr="6D20C1D8">
        <w:rPr>
          <w:rFonts w:eastAsia="Arial" w:cs="Arial"/>
          <w:szCs w:val="20"/>
        </w:rPr>
        <w:t>L’analyse économique montre qu’au total, la mise en place d’applications à doses variables représente un surcoût d’environ 40,5 € HT/ha/an. Les simulations réalisées indiquent cependant un gain moyen potentiel de 54,65 € HT/ha/an, ce qui suggère que la solution pourrait être rentable dans les conditions étudiées, même si certaines cartographies de parcelles ne conduisent pas directement à des ajustements agronomiques.</w:t>
      </w:r>
    </w:p>
    <w:p w14:paraId="637AD025" w14:textId="7DA29B5A" w:rsidR="193A4CD0" w:rsidRDefault="193A4CD0" w:rsidP="6D20C1D8">
      <w:pPr>
        <w:spacing w:before="240" w:after="240" w:line="276" w:lineRule="auto"/>
        <w:rPr>
          <w:rFonts w:eastAsia="Arial" w:cs="Arial"/>
          <w:szCs w:val="20"/>
        </w:rPr>
      </w:pPr>
      <w:r w:rsidRPr="6D20C1D8">
        <w:rPr>
          <w:rFonts w:eastAsia="Arial" w:cs="Arial"/>
          <w:szCs w:val="20"/>
        </w:rPr>
        <w:t xml:space="preserve">Il convient néanmoins de rester prudent dans l’interprétation de ces résultats. Les simulations reposent en partie sur des hypothèses optimistes concernant l’évolution du ratio COT/argile à court terme. Or, les observations réalisées montrent que l’augmentation du carbone organique peut être </w:t>
      </w:r>
      <w:r w:rsidRPr="6D20C1D8">
        <w:rPr>
          <w:rFonts w:eastAsia="Arial" w:cs="Arial"/>
          <w:szCs w:val="20"/>
        </w:rPr>
        <w:lastRenderedPageBreak/>
        <w:t>transitoire, ce qui pourrait réduire les gains à plus long terme. Cette évolution dépend notamment des pratiques de gestion du carbone sur l’exploitation (couverts végétaux, exportation ou non des pailles, etc.).</w:t>
      </w:r>
    </w:p>
    <w:p w14:paraId="44004164" w14:textId="23501B67" w:rsidR="7E5679AC" w:rsidRDefault="7E5679AC" w:rsidP="13C70224">
      <w:pPr>
        <w:spacing w:before="240" w:after="240" w:line="276" w:lineRule="auto"/>
        <w:rPr>
          <w:rFonts w:eastAsia="Arial" w:cs="Arial"/>
          <w:szCs w:val="20"/>
        </w:rPr>
      </w:pPr>
      <w:r w:rsidRPr="13C70224">
        <w:rPr>
          <w:rFonts w:eastAsia="Arial" w:cs="Arial"/>
          <w:szCs w:val="20"/>
        </w:rPr>
        <w:t>Par ailleurs, l’analyse a été réalisée sur du froment fourrager, une culture à relativement faible valeur ajoutée. Cela conduit probablement à sous-estimer les gains économiques potentiels de la modulation. En 2024, le prix du froment biologique fourrager était d’environ 290 €/t, tandis que certaines cultures légumières biologiques présentent des valeurs nettement plus élevées, par exemple 399 €/t pour le haricot biologique ou 349 €/t pour l’épinard biologique. Dans ces systèmes de culture, les gains économiques associés à une amélioration du rendement pourraient être significativement plus importants.</w:t>
      </w:r>
    </w:p>
    <w:p w14:paraId="067CC438" w14:textId="1EC5819E" w:rsidR="13C70224" w:rsidRDefault="7E5679AC" w:rsidP="30FB3E96">
      <w:pPr>
        <w:spacing w:before="240" w:after="240" w:line="276" w:lineRule="auto"/>
        <w:rPr>
          <w:rFonts w:eastAsia="Arial" w:cs="Arial"/>
          <w:szCs w:val="20"/>
        </w:rPr>
      </w:pPr>
      <w:r w:rsidRPr="30FB3E96">
        <w:rPr>
          <w:rFonts w:eastAsia="Arial" w:cs="Arial"/>
          <w:szCs w:val="20"/>
        </w:rPr>
        <w:t xml:space="preserve">Enfin, plusieurs stratégies pourraient permettre de réduire le coût de la cartographie des sols. </w:t>
      </w:r>
      <w:r w:rsidR="6338EA32" w:rsidRPr="30FB3E96">
        <w:rPr>
          <w:rFonts w:eastAsia="Arial" w:cs="Arial"/>
          <w:szCs w:val="20"/>
        </w:rPr>
        <w:t>D</w:t>
      </w:r>
      <w:r w:rsidRPr="30FB3E96">
        <w:rPr>
          <w:rFonts w:eastAsia="Arial" w:cs="Arial"/>
          <w:szCs w:val="20"/>
        </w:rPr>
        <w:t xml:space="preserve">es outils permettant d’analyser l’hétérogénéité de la croissance des cultures ou des rendements au sein des parcelles peuvent être utilisés afin d’identifier les parcelles où une modulation des apports est </w:t>
      </w:r>
      <w:r w:rsidR="122751E4" w:rsidRPr="30FB3E96">
        <w:rPr>
          <w:rFonts w:eastAsia="Arial" w:cs="Arial"/>
          <w:szCs w:val="20"/>
        </w:rPr>
        <w:t>potenti</w:t>
      </w:r>
      <w:r w:rsidRPr="30FB3E96">
        <w:rPr>
          <w:rFonts w:eastAsia="Arial" w:cs="Arial"/>
          <w:szCs w:val="20"/>
        </w:rPr>
        <w:t>ellement pertinente.</w:t>
      </w:r>
    </w:p>
    <w:p w14:paraId="2D615EA9" w14:textId="76F1809C" w:rsidR="30FB3E96" w:rsidRDefault="30FB3E96" w:rsidP="30FB3E96">
      <w:pPr>
        <w:spacing w:before="240" w:after="240" w:line="276" w:lineRule="auto"/>
        <w:rPr>
          <w:rFonts w:eastAsia="Arial" w:cs="Arial"/>
          <w:szCs w:val="20"/>
        </w:rPr>
      </w:pPr>
    </w:p>
    <w:p w14:paraId="29B2C306" w14:textId="3ED97E18" w:rsidR="62C94F58" w:rsidRDefault="419D8126" w:rsidP="30FB3E96">
      <w:pPr>
        <w:pStyle w:val="Titre1"/>
        <w:spacing w:line="276" w:lineRule="auto"/>
        <w:jc w:val="both"/>
        <w:rPr>
          <w:rFonts w:ascii="Arial" w:eastAsia="Arial" w:hAnsi="Arial" w:cs="Arial"/>
        </w:rPr>
      </w:pPr>
      <w:bookmarkStart w:id="30" w:name="_Toc24279351"/>
      <w:r w:rsidRPr="3BFF6491">
        <w:rPr>
          <w:rFonts w:ascii="Arial" w:eastAsia="Arial" w:hAnsi="Arial" w:cs="Arial"/>
        </w:rPr>
        <w:t>Évaluation organisationnelle (WP5)</w:t>
      </w:r>
      <w:bookmarkEnd w:id="30"/>
    </w:p>
    <w:p w14:paraId="79AE3023" w14:textId="03671CBD" w:rsidR="3D413B17" w:rsidRDefault="3D413B17" w:rsidP="6D20C1D8">
      <w:pPr>
        <w:spacing w:after="0" w:line="276" w:lineRule="auto"/>
        <w:rPr>
          <w:rFonts w:eastAsia="Arial" w:cs="Arial"/>
          <w:color w:val="000000" w:themeColor="text1"/>
          <w:szCs w:val="20"/>
          <w:lang w:val="fr-BE"/>
        </w:rPr>
      </w:pPr>
      <w:r w:rsidRPr="6D20C1D8">
        <w:rPr>
          <w:rFonts w:eastAsia="Arial" w:cs="Arial"/>
          <w:color w:val="000000" w:themeColor="text1"/>
          <w:szCs w:val="20"/>
          <w:lang w:val="fr-BE"/>
        </w:rPr>
        <w:t>Un entretien entre l’équipe de la Ferme du Plein Air et le CRA‑W a été réalisé</w:t>
      </w:r>
      <w:r w:rsidR="44DC4F62" w:rsidRPr="6D20C1D8">
        <w:rPr>
          <w:rFonts w:eastAsia="Arial" w:cs="Arial"/>
          <w:color w:val="000000" w:themeColor="text1"/>
          <w:szCs w:val="20"/>
          <w:lang w:val="fr-BE"/>
        </w:rPr>
        <w:t xml:space="preserve"> en</w:t>
      </w:r>
      <w:r w:rsidR="3581D46A" w:rsidRPr="6D20C1D8">
        <w:rPr>
          <w:rFonts w:eastAsia="Arial" w:cs="Arial"/>
          <w:color w:val="000000" w:themeColor="text1"/>
          <w:szCs w:val="20"/>
          <w:lang w:val="fr-BE"/>
        </w:rPr>
        <w:t xml:space="preserve"> fin de projet </w:t>
      </w:r>
      <w:r w:rsidRPr="6D20C1D8">
        <w:rPr>
          <w:rFonts w:eastAsia="Arial" w:cs="Arial"/>
          <w:color w:val="000000" w:themeColor="text1"/>
          <w:szCs w:val="20"/>
          <w:lang w:val="fr-BE"/>
        </w:rPr>
        <w:t xml:space="preserve">afin de recueillir le retour de l’exploitation concernant la mise en place du smart </w:t>
      </w:r>
      <w:proofErr w:type="spellStart"/>
      <w:r w:rsidRPr="6D20C1D8">
        <w:rPr>
          <w:rFonts w:eastAsia="Arial" w:cs="Arial"/>
          <w:color w:val="000000" w:themeColor="text1"/>
          <w:szCs w:val="20"/>
          <w:lang w:val="fr-BE"/>
        </w:rPr>
        <w:t>farming</w:t>
      </w:r>
      <w:proofErr w:type="spellEnd"/>
      <w:r w:rsidRPr="6D20C1D8">
        <w:rPr>
          <w:rFonts w:eastAsia="Arial" w:cs="Arial"/>
          <w:color w:val="000000" w:themeColor="text1"/>
          <w:szCs w:val="20"/>
          <w:lang w:val="fr-BE"/>
        </w:rPr>
        <w:t>, avec un focus particulier sur les aspects organisationnels.</w:t>
      </w:r>
      <w:r w:rsidR="4639C3BF" w:rsidRPr="6D20C1D8">
        <w:rPr>
          <w:rFonts w:eastAsia="Arial" w:cs="Arial"/>
          <w:color w:val="000000" w:themeColor="text1"/>
          <w:szCs w:val="20"/>
          <w:lang w:val="fr-BE"/>
        </w:rPr>
        <w:t xml:space="preserve"> </w:t>
      </w:r>
      <w:r w:rsidRPr="6D20C1D8">
        <w:rPr>
          <w:rFonts w:eastAsia="Arial" w:cs="Arial"/>
          <w:color w:val="000000" w:themeColor="text1"/>
          <w:szCs w:val="20"/>
          <w:lang w:val="fr-BE"/>
        </w:rPr>
        <w:t xml:space="preserve">L’entretien a montré que les outils de Smart </w:t>
      </w:r>
      <w:proofErr w:type="spellStart"/>
      <w:r w:rsidRPr="6D20C1D8">
        <w:rPr>
          <w:rFonts w:eastAsia="Arial" w:cs="Arial"/>
          <w:color w:val="000000" w:themeColor="text1"/>
          <w:szCs w:val="20"/>
          <w:lang w:val="fr-BE"/>
        </w:rPr>
        <w:t>Farming</w:t>
      </w:r>
      <w:proofErr w:type="spellEnd"/>
      <w:r w:rsidRPr="6D20C1D8">
        <w:rPr>
          <w:rFonts w:eastAsia="Arial" w:cs="Arial"/>
          <w:color w:val="000000" w:themeColor="text1"/>
          <w:szCs w:val="20"/>
          <w:lang w:val="fr-BE"/>
        </w:rPr>
        <w:t xml:space="preserve"> sont bien accueillis lorsqu’ils simplifient le travail, et rejetés lorsqu’ils le complexifient. </w:t>
      </w:r>
      <w:r w:rsidR="304AB0AB" w:rsidRPr="6D20C1D8">
        <w:rPr>
          <w:rFonts w:eastAsia="Arial" w:cs="Arial"/>
          <w:color w:val="000000" w:themeColor="text1"/>
          <w:szCs w:val="20"/>
          <w:lang w:val="fr-BE"/>
        </w:rPr>
        <w:t>Les cartes issues des solutions Veris et InterraScan, ainsi que les préconisations d’amendement associées, sont jugées utiles, à condition d’être compatibles avec le matériel disponible lors de la mise en œuvre des applications à doses variables. À défaut, des modulations simplifiées du pH et de la matière organique ont été jugées relativement simples à mettre en place par la Ferme du Plein Air, qui souhaiterait poursuivre l’utilisation de cette stratégie si aucun prestataire de services propos</w:t>
      </w:r>
      <w:r w:rsidR="1306D8F5" w:rsidRPr="6D20C1D8">
        <w:rPr>
          <w:rFonts w:eastAsia="Arial" w:cs="Arial"/>
          <w:color w:val="000000" w:themeColor="text1"/>
          <w:szCs w:val="20"/>
          <w:lang w:val="fr-BE"/>
        </w:rPr>
        <w:t>e</w:t>
      </w:r>
      <w:r w:rsidR="304AB0AB" w:rsidRPr="6D20C1D8">
        <w:rPr>
          <w:rFonts w:eastAsia="Arial" w:cs="Arial"/>
          <w:color w:val="000000" w:themeColor="text1"/>
          <w:szCs w:val="20"/>
          <w:lang w:val="fr-BE"/>
        </w:rPr>
        <w:t xml:space="preserve"> des applications à doses variables.</w:t>
      </w:r>
    </w:p>
    <w:p w14:paraId="434C9D41" w14:textId="3F2533FE" w:rsidR="6D20C1D8" w:rsidRDefault="6D20C1D8" w:rsidP="6D20C1D8">
      <w:pPr>
        <w:spacing w:after="0" w:line="276" w:lineRule="auto"/>
        <w:rPr>
          <w:rFonts w:eastAsia="Arial" w:cs="Arial"/>
          <w:color w:val="000000" w:themeColor="text1"/>
          <w:szCs w:val="20"/>
          <w:lang w:val="fr-BE"/>
        </w:rPr>
      </w:pPr>
    </w:p>
    <w:p w14:paraId="68D819B1" w14:textId="39DC0328" w:rsidR="221B56C6" w:rsidRDefault="221B56C6" w:rsidP="6D20C1D8">
      <w:pPr>
        <w:spacing w:after="0" w:line="276" w:lineRule="auto"/>
        <w:rPr>
          <w:rFonts w:eastAsia="Arial" w:cs="Arial"/>
          <w:color w:val="000000" w:themeColor="text1"/>
          <w:szCs w:val="20"/>
          <w:lang w:val="fr-BE"/>
        </w:rPr>
      </w:pPr>
      <w:r w:rsidRPr="6D20C1D8">
        <w:rPr>
          <w:rFonts w:eastAsia="Arial" w:cs="Arial"/>
          <w:color w:val="000000" w:themeColor="text1"/>
          <w:szCs w:val="20"/>
          <w:lang w:val="fr-BE"/>
        </w:rPr>
        <w:t>Le CRA-W a également cherché à identifier les contraintes organisationnelles susceptibles de constituer des leviers d’amélioration pour les solutions proposées et pour la mise en place de la modulation des intrants.</w:t>
      </w:r>
    </w:p>
    <w:p w14:paraId="05D97650" w14:textId="27114B16" w:rsidR="30FB3E96" w:rsidRDefault="30FB3E96" w:rsidP="6D20C1D8">
      <w:pPr>
        <w:spacing w:after="0" w:line="276" w:lineRule="auto"/>
        <w:rPr>
          <w:rFonts w:eastAsia="Arial" w:cs="Arial"/>
          <w:color w:val="000000" w:themeColor="text1"/>
          <w:szCs w:val="20"/>
          <w:lang w:val="fr-BE"/>
        </w:rPr>
      </w:pPr>
    </w:p>
    <w:p w14:paraId="52AE6066" w14:textId="2BEBD3F1" w:rsidR="79486182" w:rsidRDefault="79486182" w:rsidP="6D20C1D8">
      <w:pPr>
        <w:spacing w:after="0" w:line="276" w:lineRule="auto"/>
        <w:rPr>
          <w:rFonts w:eastAsia="Arial" w:cs="Arial"/>
          <w:b/>
          <w:bCs/>
          <w:color w:val="000000" w:themeColor="text1"/>
          <w:szCs w:val="20"/>
          <w:lang w:val="fr-BE"/>
        </w:rPr>
      </w:pPr>
      <w:r w:rsidRPr="6D20C1D8">
        <w:rPr>
          <w:rFonts w:eastAsia="Arial" w:cs="Arial"/>
          <w:b/>
          <w:bCs/>
          <w:color w:val="000000" w:themeColor="text1"/>
          <w:szCs w:val="20"/>
          <w:lang w:val="fr-BE"/>
        </w:rPr>
        <w:t>Cart</w:t>
      </w:r>
      <w:r w:rsidRPr="6D20C1D8">
        <w:rPr>
          <w:rFonts w:eastAsia="Arial" w:cs="Arial"/>
          <w:b/>
          <w:bCs/>
          <w:szCs w:val="20"/>
          <w:lang w:val="fr-BE"/>
        </w:rPr>
        <w:t>ographie des sols</w:t>
      </w:r>
    </w:p>
    <w:p w14:paraId="67C91699" w14:textId="77F4CA3E" w:rsidR="30FB3E96" w:rsidRDefault="30FB3E96" w:rsidP="6D20C1D8">
      <w:pPr>
        <w:spacing w:after="0" w:line="276" w:lineRule="auto"/>
        <w:rPr>
          <w:rFonts w:eastAsia="Arial" w:cs="Arial"/>
          <w:color w:val="000000" w:themeColor="text1"/>
          <w:szCs w:val="20"/>
          <w:lang w:val="fr-BE"/>
        </w:rPr>
      </w:pPr>
    </w:p>
    <w:p w14:paraId="41B7344F" w14:textId="4610D726" w:rsidR="37654067" w:rsidRDefault="37654067" w:rsidP="6D20C1D8">
      <w:pPr>
        <w:pStyle w:val="Paragraphedeliste"/>
        <w:numPr>
          <w:ilvl w:val="0"/>
          <w:numId w:val="2"/>
        </w:numPr>
        <w:spacing w:after="281" w:line="276" w:lineRule="auto"/>
        <w:jc w:val="both"/>
        <w:rPr>
          <w:rStyle w:val="normaltextrun"/>
          <w:rFonts w:ascii="Arial" w:eastAsia="Arial" w:hAnsi="Arial" w:cs="Arial"/>
          <w:color w:val="000000" w:themeColor="text1"/>
          <w:sz w:val="20"/>
          <w:szCs w:val="20"/>
        </w:rPr>
      </w:pPr>
      <w:r w:rsidRPr="6D20C1D8">
        <w:rPr>
          <w:rFonts w:eastAsia="Arial" w:cs="Arial"/>
        </w:rPr>
        <w:t>L’accessibilité des capteurs à la parcelle n’est pas possible tout au long de l’année. La prise de mesures s’effectue soit sur un sol nu, soit sur une végétation peu développée dans un contexte climatique favorable.</w:t>
      </w:r>
      <w:r w:rsidR="2817F14C" w:rsidRPr="6D20C1D8">
        <w:rPr>
          <w:rFonts w:eastAsia="Arial" w:cs="Arial"/>
        </w:rPr>
        <w:t xml:space="preserve"> Le passage des capteurs sur un parcelle peut entrainer des destructions partielles de la culture en place. Directement si une culture est implantée au cours de la cartographie et indirectement si le capteur passe sur la parcelle dans de mauvaises conditions (dégradation du sol).</w:t>
      </w:r>
    </w:p>
    <w:p w14:paraId="76DDEFFF" w14:textId="0D489E7C" w:rsidR="37654067" w:rsidRDefault="37654067" w:rsidP="30FB3E96">
      <w:pPr>
        <w:pStyle w:val="Paragraphedeliste"/>
        <w:numPr>
          <w:ilvl w:val="0"/>
          <w:numId w:val="2"/>
        </w:numPr>
        <w:spacing w:after="281" w:line="276" w:lineRule="auto"/>
        <w:jc w:val="both"/>
        <w:rPr>
          <w:rFonts w:eastAsia="Arial" w:cs="Arial"/>
          <w:color w:val="000000" w:themeColor="text1"/>
          <w:lang w:val="fr-BE"/>
        </w:rPr>
      </w:pPr>
      <w:r w:rsidRPr="6D20C1D8">
        <w:rPr>
          <w:rFonts w:eastAsia="Arial" w:cs="Arial"/>
        </w:rPr>
        <w:t>La pénétration des technologies de cartographie des sols est faible étant donné le petit nombre de prestataires équipés pour ce genre de tâche et le faible nombre de capteurs disponibles po</w:t>
      </w:r>
      <w:r w:rsidRPr="6D20C1D8">
        <w:rPr>
          <w:rFonts w:eastAsia="Arial" w:cs="Arial"/>
          <w:color w:val="000000" w:themeColor="text1"/>
        </w:rPr>
        <w:t xml:space="preserve">ur réaliser les cartographies en Région </w:t>
      </w:r>
      <w:r w:rsidR="55A4BF53" w:rsidRPr="6D20C1D8">
        <w:rPr>
          <w:rFonts w:eastAsia="Arial" w:cs="Arial"/>
          <w:color w:val="000000" w:themeColor="text1"/>
        </w:rPr>
        <w:t>wallonne</w:t>
      </w:r>
      <w:r w:rsidRPr="6D20C1D8">
        <w:rPr>
          <w:rFonts w:eastAsia="Arial" w:cs="Arial"/>
          <w:color w:val="000000" w:themeColor="text1"/>
        </w:rPr>
        <w:t>.</w:t>
      </w:r>
    </w:p>
    <w:p w14:paraId="085415E8" w14:textId="2024AAE5" w:rsidR="37654067" w:rsidRDefault="37654067" w:rsidP="30FB3E96">
      <w:pPr>
        <w:pStyle w:val="Paragraphedeliste"/>
        <w:numPr>
          <w:ilvl w:val="0"/>
          <w:numId w:val="2"/>
        </w:numPr>
        <w:spacing w:after="281" w:line="276" w:lineRule="auto"/>
        <w:jc w:val="both"/>
        <w:rPr>
          <w:rFonts w:eastAsia="Arial" w:cs="Arial"/>
          <w:color w:val="000000" w:themeColor="text1"/>
        </w:rPr>
      </w:pPr>
      <w:r w:rsidRPr="30FB3E96">
        <w:rPr>
          <w:rFonts w:eastAsia="Arial" w:cs="Arial"/>
          <w:color w:val="000000" w:themeColor="text1"/>
        </w:rPr>
        <w:t>Les solutions cartographie des sols nécessitent des échanges entre l’agriculteur et la solution pour l'accès aux parcelles et la production de conseils agronomiques personnalisé.</w:t>
      </w:r>
    </w:p>
    <w:p w14:paraId="0039F764" w14:textId="3E9123BF" w:rsidR="37654067" w:rsidRDefault="37654067" w:rsidP="6D20C1D8">
      <w:pPr>
        <w:pStyle w:val="Paragraphedeliste"/>
        <w:numPr>
          <w:ilvl w:val="0"/>
          <w:numId w:val="2"/>
        </w:numPr>
        <w:spacing w:line="276" w:lineRule="auto"/>
        <w:jc w:val="both"/>
        <w:rPr>
          <w:rFonts w:eastAsia="Arial" w:cs="Arial"/>
          <w:color w:val="000000" w:themeColor="text1"/>
          <w:lang w:val="fr-BE"/>
        </w:rPr>
      </w:pPr>
      <w:r w:rsidRPr="6D20C1D8">
        <w:rPr>
          <w:rFonts w:eastAsia="Arial" w:cs="Arial"/>
          <w:color w:val="000000" w:themeColor="text1"/>
        </w:rPr>
        <w:t xml:space="preserve">L’interprétation et la mise en forme des cartes et la production d’un conseille agronomique par les solutions de cartographie des sols </w:t>
      </w:r>
      <w:r w:rsidR="62F2604E" w:rsidRPr="6D20C1D8">
        <w:rPr>
          <w:rFonts w:eastAsia="Arial" w:cs="Arial"/>
          <w:color w:val="000000" w:themeColor="text1"/>
        </w:rPr>
        <w:t xml:space="preserve">peu </w:t>
      </w:r>
      <w:r w:rsidRPr="6D20C1D8">
        <w:rPr>
          <w:rFonts w:eastAsia="Arial" w:cs="Arial"/>
          <w:color w:val="000000" w:themeColor="text1"/>
        </w:rPr>
        <w:t>re</w:t>
      </w:r>
      <w:r w:rsidR="143E6F5F" w:rsidRPr="6D20C1D8">
        <w:rPr>
          <w:rFonts w:eastAsia="Arial" w:cs="Arial"/>
          <w:color w:val="000000" w:themeColor="text1"/>
        </w:rPr>
        <w:t>quérir</w:t>
      </w:r>
      <w:r w:rsidRPr="6D20C1D8">
        <w:rPr>
          <w:rFonts w:eastAsia="Arial" w:cs="Arial"/>
          <w:color w:val="000000" w:themeColor="text1"/>
        </w:rPr>
        <w:t xml:space="preserve"> un </w:t>
      </w:r>
      <w:r w:rsidR="3F3C9F55" w:rsidRPr="6D20C1D8">
        <w:rPr>
          <w:rFonts w:eastAsia="Arial" w:cs="Arial"/>
          <w:color w:val="000000" w:themeColor="text1"/>
        </w:rPr>
        <w:t xml:space="preserve">certain </w:t>
      </w:r>
      <w:r w:rsidR="65C3188D" w:rsidRPr="6D20C1D8">
        <w:rPr>
          <w:rFonts w:eastAsia="Arial" w:cs="Arial"/>
          <w:color w:val="000000" w:themeColor="text1"/>
        </w:rPr>
        <w:t>délai</w:t>
      </w:r>
      <w:r w:rsidRPr="6D20C1D8">
        <w:rPr>
          <w:rFonts w:eastAsia="Arial" w:cs="Arial"/>
          <w:color w:val="000000" w:themeColor="text1"/>
        </w:rPr>
        <w:t xml:space="preserve">. Toutes ces étapes </w:t>
      </w:r>
      <w:r w:rsidRPr="6D20C1D8">
        <w:rPr>
          <w:rFonts w:eastAsia="Arial" w:cs="Arial"/>
          <w:color w:val="000000" w:themeColor="text1"/>
        </w:rPr>
        <w:lastRenderedPageBreak/>
        <w:t xml:space="preserve">(acquisition et interprétation de la donnée collectée et mise en place d’une modulation) </w:t>
      </w:r>
      <w:r w:rsidR="78AACCAF" w:rsidRPr="6D20C1D8">
        <w:rPr>
          <w:rFonts w:eastAsia="Arial" w:cs="Arial"/>
          <w:color w:val="000000" w:themeColor="text1"/>
        </w:rPr>
        <w:t xml:space="preserve">peu </w:t>
      </w:r>
      <w:r w:rsidRPr="6D20C1D8">
        <w:rPr>
          <w:rFonts w:eastAsia="Arial" w:cs="Arial"/>
          <w:color w:val="000000" w:themeColor="text1"/>
        </w:rPr>
        <w:t>complique</w:t>
      </w:r>
      <w:r w:rsidR="2140F9C5" w:rsidRPr="6D20C1D8">
        <w:rPr>
          <w:rFonts w:eastAsia="Arial" w:cs="Arial"/>
          <w:color w:val="000000" w:themeColor="text1"/>
        </w:rPr>
        <w:t>r</w:t>
      </w:r>
      <w:r w:rsidRPr="6D20C1D8">
        <w:rPr>
          <w:rFonts w:eastAsia="Arial" w:cs="Arial"/>
          <w:color w:val="000000" w:themeColor="text1"/>
        </w:rPr>
        <w:t xml:space="preserve"> l’organisation des tâches culturales et la gestion des stocks</w:t>
      </w:r>
      <w:r w:rsidR="3A2C969C" w:rsidRPr="6D20C1D8">
        <w:rPr>
          <w:rFonts w:eastAsia="Arial" w:cs="Arial"/>
          <w:color w:val="000000" w:themeColor="text1"/>
        </w:rPr>
        <w:t>.</w:t>
      </w:r>
    </w:p>
    <w:p w14:paraId="153B2375" w14:textId="59AA51FC" w:rsidR="30FB3E96" w:rsidRDefault="30FB3E96" w:rsidP="30FB3E96">
      <w:pPr>
        <w:spacing w:after="281" w:line="276" w:lineRule="auto"/>
        <w:jc w:val="both"/>
        <w:rPr>
          <w:rFonts w:eastAsia="Arial" w:cs="Arial"/>
          <w:color w:val="000000" w:themeColor="text1"/>
          <w:lang w:val="fr-BE"/>
        </w:rPr>
      </w:pPr>
    </w:p>
    <w:p w14:paraId="5776B779" w14:textId="15B473BA" w:rsidR="1ED1B036" w:rsidRDefault="1ED1B036" w:rsidP="30FB3E96">
      <w:pPr>
        <w:spacing w:line="276" w:lineRule="auto"/>
        <w:jc w:val="both"/>
      </w:pPr>
      <w:r w:rsidRPr="30FB3E96">
        <w:rPr>
          <w:rFonts w:eastAsia="Arial" w:cs="Arial"/>
          <w:b/>
          <w:bCs/>
          <w:color w:val="000000" w:themeColor="text1"/>
          <w:lang w:val="fr-BE"/>
        </w:rPr>
        <w:t>Mise en place des applications variables</w:t>
      </w:r>
    </w:p>
    <w:p w14:paraId="35875884" w14:textId="7B95FF75" w:rsidR="37654067" w:rsidRDefault="37654067" w:rsidP="30FB3E96">
      <w:pPr>
        <w:pStyle w:val="Paragraphedeliste"/>
        <w:numPr>
          <w:ilvl w:val="0"/>
          <w:numId w:val="1"/>
        </w:numPr>
        <w:spacing w:after="281" w:line="276" w:lineRule="auto"/>
        <w:jc w:val="both"/>
        <w:rPr>
          <w:rFonts w:eastAsia="Arial" w:cs="Arial"/>
          <w:color w:val="000000" w:themeColor="text1"/>
        </w:rPr>
      </w:pPr>
      <w:r w:rsidRPr="30FB3E96">
        <w:rPr>
          <w:rFonts w:eastAsia="Arial" w:cs="Arial"/>
          <w:color w:val="000000" w:themeColor="text1"/>
        </w:rPr>
        <w:t xml:space="preserve">Le transfert des cartes de </w:t>
      </w:r>
      <w:r w:rsidR="42BC5D07" w:rsidRPr="30FB3E96">
        <w:rPr>
          <w:rFonts w:eastAsia="Arial" w:cs="Arial"/>
          <w:color w:val="000000" w:themeColor="text1"/>
        </w:rPr>
        <w:t xml:space="preserve">prescription </w:t>
      </w:r>
      <w:r w:rsidRPr="30FB3E96">
        <w:rPr>
          <w:rFonts w:eastAsia="Arial" w:cs="Arial"/>
          <w:color w:val="000000" w:themeColor="text1"/>
        </w:rPr>
        <w:t>vers le matériel agricole a pu se révéler une tâche laborieuse, ayant conduit dans certains cas à l’annulation de l’opération lors des essais DTF.</w:t>
      </w:r>
    </w:p>
    <w:p w14:paraId="6F9B58F4" w14:textId="15D7B0EB" w:rsidR="37654067" w:rsidRDefault="37654067" w:rsidP="30FB3E96">
      <w:pPr>
        <w:pStyle w:val="Paragraphedeliste"/>
        <w:numPr>
          <w:ilvl w:val="0"/>
          <w:numId w:val="1"/>
        </w:numPr>
        <w:spacing w:after="281" w:line="276" w:lineRule="auto"/>
        <w:jc w:val="both"/>
        <w:rPr>
          <w:rFonts w:eastAsia="Arial" w:cs="Arial"/>
          <w:color w:val="000000" w:themeColor="text1"/>
          <w:highlight w:val="yellow"/>
        </w:rPr>
      </w:pPr>
      <w:r w:rsidRPr="6D20C1D8">
        <w:rPr>
          <w:rFonts w:eastAsia="Arial" w:cs="Arial"/>
          <w:color w:val="000000" w:themeColor="text1"/>
        </w:rPr>
        <w:t xml:space="preserve">Lorsque le matériel pour la mise en place de modulations de doses n’était pas disponible, les modulations manuelles (épandage on/off selon des zones définies manuellement sur la base des cartes fournies par les solutions) </w:t>
      </w:r>
      <w:r w:rsidR="1E39E853" w:rsidRPr="6D20C1D8">
        <w:rPr>
          <w:rFonts w:eastAsia="Arial" w:cs="Arial"/>
          <w:color w:val="000000" w:themeColor="text1"/>
        </w:rPr>
        <w:t>pouvaient être laborieuse si la forme des zones à épandre étaient complexes</w:t>
      </w:r>
      <w:r w:rsidRPr="6D20C1D8">
        <w:rPr>
          <w:rFonts w:eastAsia="Arial" w:cs="Arial"/>
          <w:color w:val="000000" w:themeColor="text1"/>
        </w:rPr>
        <w:t xml:space="preserve">, nécessitant notamment le positionnement de drapeaux repère pour guider les chauffeurs et l’accès à des GPS de précision. Cependant, l’évaluation des résultats a montré que la modulation manuelle pouvait produire </w:t>
      </w:r>
      <w:r w:rsidR="55E24F28" w:rsidRPr="6D20C1D8">
        <w:rPr>
          <w:rFonts w:eastAsia="Arial" w:cs="Arial"/>
          <w:color w:val="000000" w:themeColor="text1"/>
        </w:rPr>
        <w:t>des résultats satisfaisants</w:t>
      </w:r>
      <w:r w:rsidRPr="6D20C1D8">
        <w:rPr>
          <w:rFonts w:eastAsia="Arial" w:cs="Arial"/>
          <w:color w:val="000000" w:themeColor="text1"/>
        </w:rPr>
        <w:t>, ce qui est encourageant, car elle constitue une alternative viable lorsque le matériel pour les applications à doses variables n’est pas disponible.</w:t>
      </w:r>
    </w:p>
    <w:p w14:paraId="1CAE2CE9" w14:textId="4E1A4775" w:rsidR="2240A0CC" w:rsidRDefault="2240A0CC" w:rsidP="6D20C1D8">
      <w:pPr>
        <w:pStyle w:val="Paragraphedeliste"/>
        <w:numPr>
          <w:ilvl w:val="0"/>
          <w:numId w:val="1"/>
        </w:numPr>
        <w:spacing w:after="281" w:line="276" w:lineRule="auto"/>
        <w:jc w:val="both"/>
        <w:rPr>
          <w:b/>
          <w:bCs/>
        </w:rPr>
      </w:pPr>
      <w:r w:rsidRPr="6D20C1D8">
        <w:rPr>
          <w:rFonts w:eastAsia="Arial" w:cs="Arial"/>
          <w:color w:val="000000" w:themeColor="text1"/>
        </w:rPr>
        <w:t xml:space="preserve">La formation à certaines technologies et compétences nécessaires à la mise en place de la modulation des doses pourrait être renforcée en Région wallonne, notamment en ce qui concerne les compétences en cartographie et en systèmes d’information géographique (SIG). </w:t>
      </w:r>
      <w:r w:rsidRPr="6D20C1D8">
        <w:rPr>
          <w:b/>
          <w:bCs/>
        </w:rPr>
        <w:t xml:space="preserve">Toutefois, cette observation doit être relativisée. Le projet a en effet mis en évidence un manque important du côté des solutions numériques elles-mêmes, en particulier en matière d’interopérabilité. Des plateformes telles que </w:t>
      </w:r>
      <w:proofErr w:type="spellStart"/>
      <w:r w:rsidRPr="6D20C1D8">
        <w:rPr>
          <w:b/>
          <w:bCs/>
        </w:rPr>
        <w:t>Xarvio</w:t>
      </w:r>
      <w:proofErr w:type="spellEnd"/>
      <w:r w:rsidRPr="6D20C1D8">
        <w:rPr>
          <w:b/>
          <w:bCs/>
        </w:rPr>
        <w:t>, cartemodulation.be, John Deere Operations Center ou encore la plateforme InterraScan permettent de visualiser des cartes agronomiques et de générer des cartes de prescription. Cependant, les données cartographiques produites par ces différentes solutions ne sont pas toujours facilement transférables ou exploitables d’une plateforme à l’autre. Ce manque d’interopérabilité complique la gestion des données. Par ailleurs, les cartes de prescription doivent être exportées dans une grande diversité de formats afin d’être compatibles avec les différents équipements</w:t>
      </w:r>
      <w:r w:rsidR="614F1502" w:rsidRPr="6D20C1D8">
        <w:rPr>
          <w:b/>
          <w:bCs/>
        </w:rPr>
        <w:t xml:space="preserve"> et marques</w:t>
      </w:r>
      <w:r w:rsidRPr="6D20C1D8">
        <w:rPr>
          <w:b/>
          <w:bCs/>
        </w:rPr>
        <w:t xml:space="preserve"> agricoles, ce qui constitue également une contrainte technique supplémentaire pour les utilisateurs.</w:t>
      </w:r>
    </w:p>
    <w:p w14:paraId="2D5C5117" w14:textId="20C0781A" w:rsidR="6D20C1D8" w:rsidRDefault="6D20C1D8" w:rsidP="6D20C1D8">
      <w:pPr>
        <w:spacing w:after="281" w:line="276" w:lineRule="auto"/>
        <w:jc w:val="both"/>
        <w:rPr>
          <w:rFonts w:eastAsia="Arial" w:cs="Arial"/>
          <w:color w:val="000000" w:themeColor="text1"/>
          <w:highlight w:val="yellow"/>
        </w:rPr>
      </w:pPr>
    </w:p>
    <w:p w14:paraId="379C883C" w14:textId="05C42380" w:rsidR="23261983" w:rsidRDefault="32E2A90D" w:rsidP="6D20C1D8">
      <w:pPr>
        <w:pStyle w:val="Titre1"/>
        <w:rPr>
          <w:rFonts w:ascii="Arial" w:eastAsia="Arial" w:hAnsi="Arial" w:cs="Arial"/>
          <w:color w:val="000000" w:themeColor="text1"/>
          <w:lang w:val="fr-BE"/>
        </w:rPr>
      </w:pPr>
      <w:bookmarkStart w:id="31" w:name="_Toc1973089767"/>
      <w:r>
        <w:t>Conclusion</w:t>
      </w:r>
      <w:bookmarkEnd w:id="31"/>
    </w:p>
    <w:p w14:paraId="53E8A1D6" w14:textId="68656C88" w:rsidR="240E506D" w:rsidRDefault="240E506D" w:rsidP="6D20C1D8">
      <w:pPr>
        <w:spacing w:after="281" w:line="276" w:lineRule="auto"/>
        <w:jc w:val="both"/>
        <w:rPr>
          <w:rFonts w:eastAsia="Arial" w:cs="Arial"/>
          <w:color w:val="000000" w:themeColor="text1"/>
        </w:rPr>
      </w:pPr>
      <w:r w:rsidRPr="57B8D1F7">
        <w:rPr>
          <w:rFonts w:eastAsia="Arial" w:cs="Arial"/>
          <w:color w:val="000000" w:themeColor="text1"/>
        </w:rPr>
        <w:t xml:space="preserve">Les bénéfices liés à une homogénéisation du pH et du taux de matière organique du sol au sein d’une parcelle peuvent être significatifs sur le long terme. Bien que la mise en place d’applications à </w:t>
      </w:r>
      <w:r w:rsidR="18738E95" w:rsidRPr="57B8D1F7">
        <w:rPr>
          <w:rFonts w:eastAsia="Arial" w:cs="Arial"/>
          <w:color w:val="000000" w:themeColor="text1"/>
        </w:rPr>
        <w:t>taux</w:t>
      </w:r>
      <w:r w:rsidRPr="57B8D1F7">
        <w:rPr>
          <w:rFonts w:eastAsia="Arial" w:cs="Arial"/>
          <w:color w:val="000000" w:themeColor="text1"/>
        </w:rPr>
        <w:t xml:space="preserve"> variables</w:t>
      </w:r>
      <w:r w:rsidR="4D7ADFF8" w:rsidRPr="57B8D1F7">
        <w:rPr>
          <w:rFonts w:eastAsia="Arial" w:cs="Arial"/>
          <w:color w:val="000000" w:themeColor="text1"/>
        </w:rPr>
        <w:t xml:space="preserve"> des intrants</w:t>
      </w:r>
      <w:r w:rsidRPr="57B8D1F7">
        <w:rPr>
          <w:rFonts w:eastAsia="Arial" w:cs="Arial"/>
          <w:color w:val="000000" w:themeColor="text1"/>
        </w:rPr>
        <w:t xml:space="preserve"> puisse impliquer certains freins financiers, organisationnels et techniques, ces contraintes doivent être mises en perspective avec les gains potentiels.</w:t>
      </w:r>
      <w:r w:rsidR="61B0E4E4" w:rsidRPr="57B8D1F7">
        <w:rPr>
          <w:rFonts w:eastAsia="Arial" w:cs="Arial"/>
          <w:color w:val="000000" w:themeColor="text1"/>
        </w:rPr>
        <w:t xml:space="preserve"> </w:t>
      </w:r>
      <w:r w:rsidRPr="57B8D1F7">
        <w:rPr>
          <w:rFonts w:eastAsia="Arial" w:cs="Arial"/>
          <w:color w:val="000000" w:themeColor="text1"/>
        </w:rPr>
        <w:t>L’analyse économique présentée dans ce rapport montre que, pour une exploitation de 148 ha spécialisée dans la production industrielle de légumes</w:t>
      </w:r>
      <w:r w:rsidR="5C525315" w:rsidRPr="57B8D1F7">
        <w:rPr>
          <w:rFonts w:eastAsia="Arial" w:cs="Arial"/>
          <w:color w:val="000000" w:themeColor="text1"/>
        </w:rPr>
        <w:t xml:space="preserve"> bio</w:t>
      </w:r>
      <w:r w:rsidRPr="57B8D1F7">
        <w:rPr>
          <w:rFonts w:eastAsia="Arial" w:cs="Arial"/>
          <w:color w:val="000000" w:themeColor="text1"/>
        </w:rPr>
        <w:t>, la mise en place d’applications à taux variables peut s’avérer économiquement rentable, en particulier dans les situations où les parcelles présentent de fortes hétérogénéités liées au pH ou à la matière organique, par exemple dans des contextes de remembrement récent.</w:t>
      </w:r>
    </w:p>
    <w:p w14:paraId="478E8B17" w14:textId="4E966203" w:rsidR="240E506D" w:rsidRDefault="7C45D434" w:rsidP="6D20C1D8">
      <w:pPr>
        <w:spacing w:after="281" w:line="276" w:lineRule="auto"/>
        <w:jc w:val="both"/>
        <w:rPr>
          <w:rFonts w:eastAsia="Arial" w:cs="Arial"/>
          <w:color w:val="000000" w:themeColor="text1"/>
        </w:rPr>
      </w:pPr>
      <w:r w:rsidRPr="3BFF6491">
        <w:rPr>
          <w:rFonts w:eastAsia="Arial" w:cs="Arial"/>
          <w:color w:val="000000" w:themeColor="text1"/>
        </w:rPr>
        <w:t>Par ailleurs, des outils existent pour évaluer le niveau d’hétérogénéité de la croissance des cultures et des rendements au sein d’une parcelle. Ils peuvent être mobilisés afin d’orienter les agriculteurs vers les parcelles nécessitant réellement une application à dose variable, ce qui permet de réduire l’effort global de mise en œuvre à l’échelle de l’exploitation et de cibler les situations où les bénéfices agronomiques et économiques sont les plus importants.</w:t>
      </w:r>
    </w:p>
    <w:p w14:paraId="27C9175C" w14:textId="5A3277CA" w:rsidR="0E4B7EEB" w:rsidRPr="00320AD2" w:rsidRDefault="0E4B7EEB" w:rsidP="3BFF6491">
      <w:pPr>
        <w:pStyle w:val="Titre1"/>
        <w:rPr>
          <w:rFonts w:ascii="Arial" w:eastAsia="Arial" w:hAnsi="Arial" w:cs="Arial"/>
          <w:color w:val="000000" w:themeColor="text1"/>
          <w:lang w:val="en-US"/>
        </w:rPr>
      </w:pPr>
      <w:proofErr w:type="spellStart"/>
      <w:r w:rsidRPr="00320AD2">
        <w:rPr>
          <w:lang w:val="en-US"/>
        </w:rPr>
        <w:lastRenderedPageBreak/>
        <w:t>Bibliographie</w:t>
      </w:r>
      <w:proofErr w:type="spellEnd"/>
    </w:p>
    <w:p w14:paraId="60D73CCD" w14:textId="7D05C754" w:rsidR="6EA7A935" w:rsidRPr="00320AD2" w:rsidRDefault="6EA7A935" w:rsidP="3BFF6491">
      <w:pPr>
        <w:spacing w:before="240" w:after="240" w:line="276" w:lineRule="auto"/>
        <w:rPr>
          <w:rFonts w:eastAsia="Arial" w:cs="Arial"/>
          <w:color w:val="000000" w:themeColor="text1"/>
          <w:szCs w:val="20"/>
          <w:lang w:val="en-US"/>
        </w:rPr>
      </w:pPr>
      <w:r w:rsidRPr="00320AD2">
        <w:rPr>
          <w:rFonts w:eastAsia="Arial" w:cs="Arial"/>
          <w:color w:val="000000" w:themeColor="text1"/>
          <w:szCs w:val="20"/>
          <w:lang w:val="en-US"/>
        </w:rPr>
        <w:t xml:space="preserve">BDB. (2021). </w:t>
      </w:r>
      <w:proofErr w:type="spellStart"/>
      <w:r w:rsidRPr="00320AD2">
        <w:rPr>
          <w:rFonts w:eastAsia="Arial" w:cs="Arial"/>
          <w:color w:val="000000" w:themeColor="text1"/>
          <w:szCs w:val="20"/>
          <w:lang w:val="en-US"/>
        </w:rPr>
        <w:t>Optimale</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zuurtegraad</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geeft</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hogere</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opbrengst</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betere</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bodemkwaliteit</w:t>
      </w:r>
      <w:proofErr w:type="spellEnd"/>
      <w:r w:rsidRPr="00320AD2">
        <w:rPr>
          <w:rFonts w:eastAsia="Arial" w:cs="Arial"/>
          <w:color w:val="000000" w:themeColor="text1"/>
          <w:szCs w:val="20"/>
          <w:lang w:val="en-US"/>
        </w:rPr>
        <w:t xml:space="preserve"> </w:t>
      </w:r>
      <w:proofErr w:type="spellStart"/>
      <w:r w:rsidRPr="00320AD2">
        <w:rPr>
          <w:rFonts w:eastAsia="Arial" w:cs="Arial"/>
          <w:color w:val="000000" w:themeColor="text1"/>
          <w:szCs w:val="20"/>
          <w:lang w:val="en-US"/>
        </w:rPr>
        <w:t>en</w:t>
      </w:r>
      <w:proofErr w:type="spellEnd"/>
      <w:r w:rsidRPr="00320AD2">
        <w:rPr>
          <w:rFonts w:eastAsia="Arial" w:cs="Arial"/>
          <w:color w:val="000000" w:themeColor="text1"/>
          <w:szCs w:val="20"/>
          <w:lang w:val="en-US"/>
        </w:rPr>
        <w:t xml:space="preserve"> minder </w:t>
      </w:r>
      <w:proofErr w:type="spellStart"/>
      <w:r w:rsidRPr="00320AD2">
        <w:rPr>
          <w:rFonts w:eastAsia="Arial" w:cs="Arial"/>
          <w:color w:val="000000" w:themeColor="text1"/>
          <w:szCs w:val="20"/>
          <w:lang w:val="en-US"/>
        </w:rPr>
        <w:t>uitspoeling</w:t>
      </w:r>
      <w:proofErr w:type="spellEnd"/>
      <w:r w:rsidRPr="00320AD2">
        <w:rPr>
          <w:rFonts w:eastAsia="Arial" w:cs="Arial"/>
          <w:color w:val="000000" w:themeColor="text1"/>
          <w:szCs w:val="20"/>
          <w:lang w:val="en-US"/>
        </w:rPr>
        <w:t xml:space="preserve">. </w:t>
      </w:r>
    </w:p>
    <w:p w14:paraId="313FF394" w14:textId="29C2749F" w:rsidR="6EA7A935" w:rsidRDefault="6EA7A935" w:rsidP="3BFF6491">
      <w:pPr>
        <w:spacing w:before="240" w:after="240" w:line="276" w:lineRule="auto"/>
      </w:pPr>
      <w:r w:rsidRPr="3BFF6491">
        <w:rPr>
          <w:rFonts w:eastAsia="Arial" w:cs="Arial"/>
          <w:color w:val="000000" w:themeColor="text1"/>
          <w:szCs w:val="20"/>
        </w:rPr>
        <w:t xml:space="preserve">MAEC Sol. 2024. MAEC Sol - MR14 (Nouveauté 2024). Consulté le 06/09/2024. </w:t>
      </w:r>
      <w:hyperlink r:id="rId50">
        <w:r w:rsidRPr="3BFF6491">
          <w:rPr>
            <w:rFonts w:eastAsia="Arial" w:cs="Arial"/>
            <w:color w:val="000000" w:themeColor="text1"/>
            <w:szCs w:val="20"/>
          </w:rPr>
          <w:t>https://agriculture.wallonie.be/home/aides/pac-2023-2027-description-des-interventions/mesures-agro-environnementales-et-climatiques-nouveaute-2024/maec-sol---mr14-nouveaute-2024.html</w:t>
        </w:r>
      </w:hyperlink>
      <w:r w:rsidRPr="3BFF6491">
        <w:rPr>
          <w:rFonts w:eastAsia="Arial" w:cs="Arial"/>
          <w:color w:val="000000" w:themeColor="text1"/>
          <w:szCs w:val="20"/>
        </w:rPr>
        <w:t xml:space="preserve"> </w:t>
      </w:r>
    </w:p>
    <w:p w14:paraId="3490F0B5" w14:textId="36785BE9" w:rsidR="6EA7A935" w:rsidRDefault="6EA7A935" w:rsidP="3BFF6491">
      <w:pPr>
        <w:spacing w:before="240" w:after="240" w:line="276" w:lineRule="auto"/>
      </w:pPr>
      <w:r w:rsidRPr="3BFF6491">
        <w:rPr>
          <w:rFonts w:eastAsia="Arial" w:cs="Arial"/>
          <w:color w:val="000000" w:themeColor="text1"/>
          <w:szCs w:val="20"/>
        </w:rPr>
        <w:t>Service public de Wallonie (SPW). 2020. Matière organique dans les sols agricoles. Consulté le 26/08/2024. http://etat.environnement.wallonie.be/contents/indicatorsheets/SOLS%202.html#footnote1</w:t>
      </w:r>
    </w:p>
    <w:sectPr w:rsidR="6EA7A935" w:rsidSect="00D07C2D">
      <w:footerReference w:type="default" r:id="rId51"/>
      <w:type w:val="continuous"/>
      <w:pgSz w:w="11906" w:h="16838"/>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809A3" w14:textId="77777777" w:rsidR="00EA1D58" w:rsidRDefault="00EA1D58">
      <w:pPr>
        <w:spacing w:after="0" w:line="240" w:lineRule="auto"/>
      </w:pPr>
      <w:r>
        <w:separator/>
      </w:r>
    </w:p>
  </w:endnote>
  <w:endnote w:type="continuationSeparator" w:id="0">
    <w:p w14:paraId="0AF4FD98" w14:textId="77777777" w:rsidR="00EA1D58" w:rsidRDefault="00EA1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1162696"/>
      <w:docPartObj>
        <w:docPartGallery w:val="Page Numbers (Bottom of Page)"/>
        <w:docPartUnique/>
      </w:docPartObj>
    </w:sdtPr>
    <w:sdtContent>
      <w:p w14:paraId="759B805D" w14:textId="21929130" w:rsidR="00996ABB" w:rsidRDefault="006E2F14">
        <w:pPr>
          <w:pStyle w:val="Pieddepage"/>
          <w:jc w:val="right"/>
        </w:pPr>
        <w:r>
          <w:fldChar w:fldCharType="begin"/>
        </w:r>
        <w:r>
          <w:instrText xml:space="preserve"> PAGE  \* Arabic  \* MERGEFORMAT </w:instrText>
        </w:r>
        <w:r>
          <w:fldChar w:fldCharType="separate"/>
        </w:r>
        <w:r>
          <w:rPr>
            <w:noProof/>
          </w:rPr>
          <w:t>4</w:t>
        </w:r>
        <w:r>
          <w:fldChar w:fldCharType="end"/>
        </w:r>
      </w:p>
    </w:sdtContent>
  </w:sdt>
  <w:p w14:paraId="4101C163" w14:textId="77777777" w:rsidR="005E1ED6" w:rsidRDefault="005E1ED6" w:rsidP="2B1DFB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01E13" w14:textId="77777777" w:rsidR="00EA1D58" w:rsidRDefault="00EA1D58">
      <w:pPr>
        <w:spacing w:after="0" w:line="240" w:lineRule="auto"/>
      </w:pPr>
      <w:r>
        <w:separator/>
      </w:r>
    </w:p>
  </w:footnote>
  <w:footnote w:type="continuationSeparator" w:id="0">
    <w:p w14:paraId="3B2C16ED" w14:textId="77777777" w:rsidR="00EA1D58" w:rsidRDefault="00EA1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02261B8" w14:paraId="390E0CB3" w14:textId="77777777" w:rsidTr="2B1DFB5D">
      <w:trPr>
        <w:trHeight w:val="300"/>
      </w:trPr>
      <w:tc>
        <w:tcPr>
          <w:tcW w:w="3005" w:type="dxa"/>
        </w:tcPr>
        <w:p w14:paraId="234AE91F" w14:textId="2521A77F" w:rsidR="2B1DFB5D" w:rsidRDefault="2B1DFB5D" w:rsidP="2B1DFB5D">
          <w:pPr>
            <w:pStyle w:val="En-tte"/>
            <w:ind w:left="-115"/>
          </w:pPr>
        </w:p>
      </w:tc>
      <w:tc>
        <w:tcPr>
          <w:tcW w:w="3005" w:type="dxa"/>
        </w:tcPr>
        <w:p w14:paraId="062C4173" w14:textId="6FA2F0E7" w:rsidR="2B1DFB5D" w:rsidRDefault="2B1DFB5D" w:rsidP="2B1DFB5D">
          <w:pPr>
            <w:pStyle w:val="En-tte"/>
            <w:jc w:val="center"/>
          </w:pPr>
        </w:p>
      </w:tc>
      <w:tc>
        <w:tcPr>
          <w:tcW w:w="3005" w:type="dxa"/>
        </w:tcPr>
        <w:p w14:paraId="75936BC1" w14:textId="0B95C609" w:rsidR="2B1DFB5D" w:rsidRDefault="2B1DFB5D" w:rsidP="2B1DFB5D">
          <w:pPr>
            <w:pStyle w:val="En-tte"/>
            <w:ind w:right="-115"/>
            <w:jc w:val="right"/>
          </w:pPr>
        </w:p>
      </w:tc>
    </w:tr>
  </w:tbl>
  <w:p w14:paraId="41A1B3E5" w14:textId="36DA1DA0" w:rsidR="2B1DFB5D" w:rsidRDefault="2B1DFB5D" w:rsidP="2B1DFB5D">
    <w:pPr>
      <w:pStyle w:val="En-tte"/>
    </w:pPr>
  </w:p>
</w:hdr>
</file>

<file path=word/intelligence2.xml><?xml version="1.0" encoding="utf-8"?>
<int2:intelligence xmlns:int2="http://schemas.microsoft.com/office/intelligence/2020/intelligence" xmlns:oel="http://schemas.microsoft.com/office/2019/extlst">
  <int2:observations>
    <int2:textHash int2:hashCode="VFUReHwuLp6u4K" int2:id="3gDZZsGF">
      <int2:state int2:value="Rejected" int2:type="spell"/>
    </int2:textHash>
    <int2:textHash int2:hashCode="PsrfZ1t46f9l3d" int2:id="AEMLosGP">
      <int2:state int2:value="Rejected" int2:type="spell"/>
    </int2:textHash>
    <int2:textHash int2:hashCode="rfTtiDszIe1Ac3" int2:id="ZgfrRZQk">
      <int2:state int2:value="Rejected" int2:type="spell"/>
    </int2:textHash>
    <int2:textHash int2:hashCode="mlebUvR/psrDKx" int2:id="l2WiV2Xi">
      <int2:state int2:value="Rejected" int2:type="spell"/>
    </int2:textHash>
    <int2:textHash int2:hashCode="0jtZh1BMGz3khL" int2:id="qqXg9iWI">
      <int2:state int2:value="Rejected" int2:type="spell"/>
    </int2:textHash>
    <int2:textHash int2:hashCode="zdm9GD/QLbQY8n" int2:id="upFRD28r">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6310"/>
    <w:multiLevelType w:val="hybridMultilevel"/>
    <w:tmpl w:val="FFFFFFFF"/>
    <w:lvl w:ilvl="0" w:tplc="CEECEAC8">
      <w:start w:val="1"/>
      <w:numFmt w:val="bullet"/>
      <w:lvlText w:val=""/>
      <w:lvlJc w:val="left"/>
      <w:pPr>
        <w:ind w:left="720" w:hanging="360"/>
      </w:pPr>
      <w:rPr>
        <w:rFonts w:ascii="Symbol" w:hAnsi="Symbol" w:hint="default"/>
      </w:rPr>
    </w:lvl>
    <w:lvl w:ilvl="1" w:tplc="BB9E53DE">
      <w:start w:val="1"/>
      <w:numFmt w:val="bullet"/>
      <w:lvlText w:val="o"/>
      <w:lvlJc w:val="left"/>
      <w:pPr>
        <w:ind w:left="1440" w:hanging="360"/>
      </w:pPr>
      <w:rPr>
        <w:rFonts w:ascii="Courier New" w:hAnsi="Courier New" w:hint="default"/>
      </w:rPr>
    </w:lvl>
    <w:lvl w:ilvl="2" w:tplc="00A4DAB0">
      <w:start w:val="1"/>
      <w:numFmt w:val="bullet"/>
      <w:lvlText w:val=""/>
      <w:lvlJc w:val="left"/>
      <w:pPr>
        <w:ind w:left="2160" w:hanging="360"/>
      </w:pPr>
      <w:rPr>
        <w:rFonts w:ascii="Wingdings" w:hAnsi="Wingdings" w:hint="default"/>
      </w:rPr>
    </w:lvl>
    <w:lvl w:ilvl="3" w:tplc="34AC27B8">
      <w:start w:val="1"/>
      <w:numFmt w:val="bullet"/>
      <w:lvlText w:val=""/>
      <w:lvlJc w:val="left"/>
      <w:pPr>
        <w:ind w:left="2880" w:hanging="360"/>
      </w:pPr>
      <w:rPr>
        <w:rFonts w:ascii="Symbol" w:hAnsi="Symbol" w:hint="default"/>
      </w:rPr>
    </w:lvl>
    <w:lvl w:ilvl="4" w:tplc="3F0C1DEC">
      <w:start w:val="1"/>
      <w:numFmt w:val="bullet"/>
      <w:lvlText w:val="o"/>
      <w:lvlJc w:val="left"/>
      <w:pPr>
        <w:ind w:left="3600" w:hanging="360"/>
      </w:pPr>
      <w:rPr>
        <w:rFonts w:ascii="Courier New" w:hAnsi="Courier New" w:hint="default"/>
      </w:rPr>
    </w:lvl>
    <w:lvl w:ilvl="5" w:tplc="679C47C8">
      <w:start w:val="1"/>
      <w:numFmt w:val="bullet"/>
      <w:lvlText w:val=""/>
      <w:lvlJc w:val="left"/>
      <w:pPr>
        <w:ind w:left="4320" w:hanging="360"/>
      </w:pPr>
      <w:rPr>
        <w:rFonts w:ascii="Wingdings" w:hAnsi="Wingdings" w:hint="default"/>
      </w:rPr>
    </w:lvl>
    <w:lvl w:ilvl="6" w:tplc="3FB4572E">
      <w:start w:val="1"/>
      <w:numFmt w:val="bullet"/>
      <w:lvlText w:val=""/>
      <w:lvlJc w:val="left"/>
      <w:pPr>
        <w:ind w:left="5040" w:hanging="360"/>
      </w:pPr>
      <w:rPr>
        <w:rFonts w:ascii="Symbol" w:hAnsi="Symbol" w:hint="default"/>
      </w:rPr>
    </w:lvl>
    <w:lvl w:ilvl="7" w:tplc="D12AD1D4">
      <w:start w:val="1"/>
      <w:numFmt w:val="bullet"/>
      <w:lvlText w:val="o"/>
      <w:lvlJc w:val="left"/>
      <w:pPr>
        <w:ind w:left="5760" w:hanging="360"/>
      </w:pPr>
      <w:rPr>
        <w:rFonts w:ascii="Courier New" w:hAnsi="Courier New" w:hint="default"/>
      </w:rPr>
    </w:lvl>
    <w:lvl w:ilvl="8" w:tplc="5E4E3912">
      <w:start w:val="1"/>
      <w:numFmt w:val="bullet"/>
      <w:lvlText w:val=""/>
      <w:lvlJc w:val="left"/>
      <w:pPr>
        <w:ind w:left="6480" w:hanging="360"/>
      </w:pPr>
      <w:rPr>
        <w:rFonts w:ascii="Wingdings" w:hAnsi="Wingdings" w:hint="default"/>
      </w:rPr>
    </w:lvl>
  </w:abstractNum>
  <w:abstractNum w:abstractNumId="1" w15:restartNumberingAfterBreak="0">
    <w:nsid w:val="0A9F858D"/>
    <w:multiLevelType w:val="hybridMultilevel"/>
    <w:tmpl w:val="FFFFFFFF"/>
    <w:lvl w:ilvl="0" w:tplc="4BEAC8BA">
      <w:start w:val="1"/>
      <w:numFmt w:val="bullet"/>
      <w:lvlText w:val=""/>
      <w:lvlJc w:val="left"/>
      <w:pPr>
        <w:ind w:left="720" w:hanging="360"/>
      </w:pPr>
      <w:rPr>
        <w:rFonts w:ascii="Symbol" w:hAnsi="Symbol" w:hint="default"/>
      </w:rPr>
    </w:lvl>
    <w:lvl w:ilvl="1" w:tplc="35D23A08">
      <w:start w:val="1"/>
      <w:numFmt w:val="bullet"/>
      <w:lvlText w:val="o"/>
      <w:lvlJc w:val="left"/>
      <w:pPr>
        <w:ind w:left="1440" w:hanging="360"/>
      </w:pPr>
      <w:rPr>
        <w:rFonts w:ascii="Courier New" w:hAnsi="Courier New" w:hint="default"/>
      </w:rPr>
    </w:lvl>
    <w:lvl w:ilvl="2" w:tplc="A92C6FB2">
      <w:start w:val="1"/>
      <w:numFmt w:val="bullet"/>
      <w:lvlText w:val=""/>
      <w:lvlJc w:val="left"/>
      <w:pPr>
        <w:ind w:left="2160" w:hanging="360"/>
      </w:pPr>
      <w:rPr>
        <w:rFonts w:ascii="Wingdings" w:hAnsi="Wingdings" w:hint="default"/>
      </w:rPr>
    </w:lvl>
    <w:lvl w:ilvl="3" w:tplc="76702A60">
      <w:start w:val="1"/>
      <w:numFmt w:val="bullet"/>
      <w:lvlText w:val=""/>
      <w:lvlJc w:val="left"/>
      <w:pPr>
        <w:ind w:left="2880" w:hanging="360"/>
      </w:pPr>
      <w:rPr>
        <w:rFonts w:ascii="Symbol" w:hAnsi="Symbol" w:hint="default"/>
      </w:rPr>
    </w:lvl>
    <w:lvl w:ilvl="4" w:tplc="F4282A18">
      <w:start w:val="1"/>
      <w:numFmt w:val="bullet"/>
      <w:lvlText w:val="o"/>
      <w:lvlJc w:val="left"/>
      <w:pPr>
        <w:ind w:left="3600" w:hanging="360"/>
      </w:pPr>
      <w:rPr>
        <w:rFonts w:ascii="Courier New" w:hAnsi="Courier New" w:hint="default"/>
      </w:rPr>
    </w:lvl>
    <w:lvl w:ilvl="5" w:tplc="55AAC95C">
      <w:start w:val="1"/>
      <w:numFmt w:val="bullet"/>
      <w:lvlText w:val=""/>
      <w:lvlJc w:val="left"/>
      <w:pPr>
        <w:ind w:left="4320" w:hanging="360"/>
      </w:pPr>
      <w:rPr>
        <w:rFonts w:ascii="Wingdings" w:hAnsi="Wingdings" w:hint="default"/>
      </w:rPr>
    </w:lvl>
    <w:lvl w:ilvl="6" w:tplc="6DB41330">
      <w:start w:val="1"/>
      <w:numFmt w:val="bullet"/>
      <w:lvlText w:val=""/>
      <w:lvlJc w:val="left"/>
      <w:pPr>
        <w:ind w:left="5040" w:hanging="360"/>
      </w:pPr>
      <w:rPr>
        <w:rFonts w:ascii="Symbol" w:hAnsi="Symbol" w:hint="default"/>
      </w:rPr>
    </w:lvl>
    <w:lvl w:ilvl="7" w:tplc="56CA0AE2">
      <w:start w:val="1"/>
      <w:numFmt w:val="bullet"/>
      <w:lvlText w:val="o"/>
      <w:lvlJc w:val="left"/>
      <w:pPr>
        <w:ind w:left="5760" w:hanging="360"/>
      </w:pPr>
      <w:rPr>
        <w:rFonts w:ascii="Courier New" w:hAnsi="Courier New" w:hint="default"/>
      </w:rPr>
    </w:lvl>
    <w:lvl w:ilvl="8" w:tplc="C03AE9B0">
      <w:start w:val="1"/>
      <w:numFmt w:val="bullet"/>
      <w:lvlText w:val=""/>
      <w:lvlJc w:val="left"/>
      <w:pPr>
        <w:ind w:left="6480" w:hanging="360"/>
      </w:pPr>
      <w:rPr>
        <w:rFonts w:ascii="Wingdings" w:hAnsi="Wingdings" w:hint="default"/>
      </w:rPr>
    </w:lvl>
  </w:abstractNum>
  <w:abstractNum w:abstractNumId="2" w15:restartNumberingAfterBreak="0">
    <w:nsid w:val="1936056E"/>
    <w:multiLevelType w:val="hybridMultilevel"/>
    <w:tmpl w:val="FFFFFFFF"/>
    <w:lvl w:ilvl="0" w:tplc="04F8E37A">
      <w:start w:val="1"/>
      <w:numFmt w:val="bullet"/>
      <w:lvlText w:val=""/>
      <w:lvlJc w:val="left"/>
      <w:pPr>
        <w:ind w:left="720" w:hanging="360"/>
      </w:pPr>
      <w:rPr>
        <w:rFonts w:ascii="Symbol" w:hAnsi="Symbol" w:hint="default"/>
      </w:rPr>
    </w:lvl>
    <w:lvl w:ilvl="1" w:tplc="3E5239C2">
      <w:start w:val="1"/>
      <w:numFmt w:val="bullet"/>
      <w:lvlText w:val="o"/>
      <w:lvlJc w:val="left"/>
      <w:pPr>
        <w:ind w:left="1440" w:hanging="360"/>
      </w:pPr>
      <w:rPr>
        <w:rFonts w:ascii="Courier New" w:hAnsi="Courier New" w:hint="default"/>
      </w:rPr>
    </w:lvl>
    <w:lvl w:ilvl="2" w:tplc="2F5C4152">
      <w:start w:val="1"/>
      <w:numFmt w:val="bullet"/>
      <w:lvlText w:val=""/>
      <w:lvlJc w:val="left"/>
      <w:pPr>
        <w:ind w:left="2160" w:hanging="360"/>
      </w:pPr>
      <w:rPr>
        <w:rFonts w:ascii="Wingdings" w:hAnsi="Wingdings" w:hint="default"/>
      </w:rPr>
    </w:lvl>
    <w:lvl w:ilvl="3" w:tplc="74926F30">
      <w:start w:val="1"/>
      <w:numFmt w:val="bullet"/>
      <w:lvlText w:val=""/>
      <w:lvlJc w:val="left"/>
      <w:pPr>
        <w:ind w:left="2880" w:hanging="360"/>
      </w:pPr>
      <w:rPr>
        <w:rFonts w:ascii="Symbol" w:hAnsi="Symbol" w:hint="default"/>
      </w:rPr>
    </w:lvl>
    <w:lvl w:ilvl="4" w:tplc="0512FB42">
      <w:start w:val="1"/>
      <w:numFmt w:val="bullet"/>
      <w:lvlText w:val="o"/>
      <w:lvlJc w:val="left"/>
      <w:pPr>
        <w:ind w:left="3600" w:hanging="360"/>
      </w:pPr>
      <w:rPr>
        <w:rFonts w:ascii="Courier New" w:hAnsi="Courier New" w:hint="default"/>
      </w:rPr>
    </w:lvl>
    <w:lvl w:ilvl="5" w:tplc="AA3AF92A">
      <w:start w:val="1"/>
      <w:numFmt w:val="bullet"/>
      <w:lvlText w:val=""/>
      <w:lvlJc w:val="left"/>
      <w:pPr>
        <w:ind w:left="4320" w:hanging="360"/>
      </w:pPr>
      <w:rPr>
        <w:rFonts w:ascii="Wingdings" w:hAnsi="Wingdings" w:hint="default"/>
      </w:rPr>
    </w:lvl>
    <w:lvl w:ilvl="6" w:tplc="452055D8">
      <w:start w:val="1"/>
      <w:numFmt w:val="bullet"/>
      <w:lvlText w:val=""/>
      <w:lvlJc w:val="left"/>
      <w:pPr>
        <w:ind w:left="5040" w:hanging="360"/>
      </w:pPr>
      <w:rPr>
        <w:rFonts w:ascii="Symbol" w:hAnsi="Symbol" w:hint="default"/>
      </w:rPr>
    </w:lvl>
    <w:lvl w:ilvl="7" w:tplc="AEA0CA3A">
      <w:start w:val="1"/>
      <w:numFmt w:val="bullet"/>
      <w:lvlText w:val="o"/>
      <w:lvlJc w:val="left"/>
      <w:pPr>
        <w:ind w:left="5760" w:hanging="360"/>
      </w:pPr>
      <w:rPr>
        <w:rFonts w:ascii="Courier New" w:hAnsi="Courier New" w:hint="default"/>
      </w:rPr>
    </w:lvl>
    <w:lvl w:ilvl="8" w:tplc="994C6DA4">
      <w:start w:val="1"/>
      <w:numFmt w:val="bullet"/>
      <w:lvlText w:val=""/>
      <w:lvlJc w:val="left"/>
      <w:pPr>
        <w:ind w:left="6480" w:hanging="360"/>
      </w:pPr>
      <w:rPr>
        <w:rFonts w:ascii="Wingdings" w:hAnsi="Wingdings" w:hint="default"/>
      </w:rPr>
    </w:lvl>
  </w:abstractNum>
  <w:abstractNum w:abstractNumId="3" w15:restartNumberingAfterBreak="0">
    <w:nsid w:val="20666C25"/>
    <w:multiLevelType w:val="hybridMultilevel"/>
    <w:tmpl w:val="1E8C47C6"/>
    <w:lvl w:ilvl="0" w:tplc="D5862CE8">
      <w:start w:val="1"/>
      <w:numFmt w:val="bullet"/>
      <w:lvlText w:val=""/>
      <w:lvlJc w:val="left"/>
      <w:pPr>
        <w:ind w:left="720" w:hanging="360"/>
      </w:pPr>
      <w:rPr>
        <w:rFonts w:ascii="Symbol" w:hAnsi="Symbol" w:hint="default"/>
      </w:rPr>
    </w:lvl>
    <w:lvl w:ilvl="1" w:tplc="1CB22200">
      <w:start w:val="1"/>
      <w:numFmt w:val="bullet"/>
      <w:lvlText w:val="o"/>
      <w:lvlJc w:val="left"/>
      <w:pPr>
        <w:ind w:left="1440" w:hanging="360"/>
      </w:pPr>
      <w:rPr>
        <w:rFonts w:ascii="Courier New" w:hAnsi="Courier New" w:hint="default"/>
      </w:rPr>
    </w:lvl>
    <w:lvl w:ilvl="2" w:tplc="9B8A72E8">
      <w:start w:val="1"/>
      <w:numFmt w:val="bullet"/>
      <w:lvlText w:val=""/>
      <w:lvlJc w:val="left"/>
      <w:pPr>
        <w:ind w:left="2160" w:hanging="360"/>
      </w:pPr>
      <w:rPr>
        <w:rFonts w:ascii="Wingdings" w:hAnsi="Wingdings" w:hint="default"/>
      </w:rPr>
    </w:lvl>
    <w:lvl w:ilvl="3" w:tplc="C9E60674">
      <w:start w:val="1"/>
      <w:numFmt w:val="bullet"/>
      <w:lvlText w:val=""/>
      <w:lvlJc w:val="left"/>
      <w:pPr>
        <w:ind w:left="2880" w:hanging="360"/>
      </w:pPr>
      <w:rPr>
        <w:rFonts w:ascii="Symbol" w:hAnsi="Symbol" w:hint="default"/>
      </w:rPr>
    </w:lvl>
    <w:lvl w:ilvl="4" w:tplc="0AE0898C">
      <w:start w:val="1"/>
      <w:numFmt w:val="bullet"/>
      <w:lvlText w:val="o"/>
      <w:lvlJc w:val="left"/>
      <w:pPr>
        <w:ind w:left="3600" w:hanging="360"/>
      </w:pPr>
      <w:rPr>
        <w:rFonts w:ascii="Courier New" w:hAnsi="Courier New" w:hint="default"/>
      </w:rPr>
    </w:lvl>
    <w:lvl w:ilvl="5" w:tplc="6AC2167C">
      <w:start w:val="1"/>
      <w:numFmt w:val="bullet"/>
      <w:lvlText w:val=""/>
      <w:lvlJc w:val="left"/>
      <w:pPr>
        <w:ind w:left="4320" w:hanging="360"/>
      </w:pPr>
      <w:rPr>
        <w:rFonts w:ascii="Wingdings" w:hAnsi="Wingdings" w:hint="default"/>
      </w:rPr>
    </w:lvl>
    <w:lvl w:ilvl="6" w:tplc="05D07DAA">
      <w:start w:val="1"/>
      <w:numFmt w:val="bullet"/>
      <w:lvlText w:val=""/>
      <w:lvlJc w:val="left"/>
      <w:pPr>
        <w:ind w:left="5040" w:hanging="360"/>
      </w:pPr>
      <w:rPr>
        <w:rFonts w:ascii="Symbol" w:hAnsi="Symbol" w:hint="default"/>
      </w:rPr>
    </w:lvl>
    <w:lvl w:ilvl="7" w:tplc="4E547762">
      <w:start w:val="1"/>
      <w:numFmt w:val="bullet"/>
      <w:lvlText w:val="o"/>
      <w:lvlJc w:val="left"/>
      <w:pPr>
        <w:ind w:left="5760" w:hanging="360"/>
      </w:pPr>
      <w:rPr>
        <w:rFonts w:ascii="Courier New" w:hAnsi="Courier New" w:hint="default"/>
      </w:rPr>
    </w:lvl>
    <w:lvl w:ilvl="8" w:tplc="6A4411C2">
      <w:start w:val="1"/>
      <w:numFmt w:val="bullet"/>
      <w:lvlText w:val=""/>
      <w:lvlJc w:val="left"/>
      <w:pPr>
        <w:ind w:left="6480" w:hanging="360"/>
      </w:pPr>
      <w:rPr>
        <w:rFonts w:ascii="Wingdings" w:hAnsi="Wingdings" w:hint="default"/>
      </w:rPr>
    </w:lvl>
  </w:abstractNum>
  <w:abstractNum w:abstractNumId="4" w15:restartNumberingAfterBreak="0">
    <w:nsid w:val="2189F39C"/>
    <w:multiLevelType w:val="hybridMultilevel"/>
    <w:tmpl w:val="2FB47E0A"/>
    <w:lvl w:ilvl="0" w:tplc="E45E9AD0">
      <w:start w:val="1"/>
      <w:numFmt w:val="bullet"/>
      <w:lvlText w:val=""/>
      <w:lvlJc w:val="left"/>
      <w:pPr>
        <w:ind w:left="720" w:hanging="360"/>
      </w:pPr>
      <w:rPr>
        <w:rFonts w:ascii="Symbol" w:hAnsi="Symbol" w:hint="default"/>
      </w:rPr>
    </w:lvl>
    <w:lvl w:ilvl="1" w:tplc="CE702644">
      <w:start w:val="1"/>
      <w:numFmt w:val="bullet"/>
      <w:lvlText w:val="o"/>
      <w:lvlJc w:val="left"/>
      <w:pPr>
        <w:ind w:left="1440" w:hanging="360"/>
      </w:pPr>
      <w:rPr>
        <w:rFonts w:ascii="Courier New" w:hAnsi="Courier New" w:hint="default"/>
      </w:rPr>
    </w:lvl>
    <w:lvl w:ilvl="2" w:tplc="4906E49E">
      <w:start w:val="1"/>
      <w:numFmt w:val="bullet"/>
      <w:lvlText w:val=""/>
      <w:lvlJc w:val="left"/>
      <w:pPr>
        <w:ind w:left="2160" w:hanging="360"/>
      </w:pPr>
      <w:rPr>
        <w:rFonts w:ascii="Wingdings" w:hAnsi="Wingdings" w:hint="default"/>
      </w:rPr>
    </w:lvl>
    <w:lvl w:ilvl="3" w:tplc="2870B452">
      <w:start w:val="1"/>
      <w:numFmt w:val="bullet"/>
      <w:lvlText w:val=""/>
      <w:lvlJc w:val="left"/>
      <w:pPr>
        <w:ind w:left="2880" w:hanging="360"/>
      </w:pPr>
      <w:rPr>
        <w:rFonts w:ascii="Symbol" w:hAnsi="Symbol" w:hint="default"/>
      </w:rPr>
    </w:lvl>
    <w:lvl w:ilvl="4" w:tplc="5EAC827C">
      <w:start w:val="1"/>
      <w:numFmt w:val="bullet"/>
      <w:lvlText w:val="o"/>
      <w:lvlJc w:val="left"/>
      <w:pPr>
        <w:ind w:left="3600" w:hanging="360"/>
      </w:pPr>
      <w:rPr>
        <w:rFonts w:ascii="Courier New" w:hAnsi="Courier New" w:hint="default"/>
      </w:rPr>
    </w:lvl>
    <w:lvl w:ilvl="5" w:tplc="45729BB8">
      <w:start w:val="1"/>
      <w:numFmt w:val="bullet"/>
      <w:lvlText w:val=""/>
      <w:lvlJc w:val="left"/>
      <w:pPr>
        <w:ind w:left="4320" w:hanging="360"/>
      </w:pPr>
      <w:rPr>
        <w:rFonts w:ascii="Wingdings" w:hAnsi="Wingdings" w:hint="default"/>
      </w:rPr>
    </w:lvl>
    <w:lvl w:ilvl="6" w:tplc="6E36ACD2">
      <w:start w:val="1"/>
      <w:numFmt w:val="bullet"/>
      <w:lvlText w:val=""/>
      <w:lvlJc w:val="left"/>
      <w:pPr>
        <w:ind w:left="5040" w:hanging="360"/>
      </w:pPr>
      <w:rPr>
        <w:rFonts w:ascii="Symbol" w:hAnsi="Symbol" w:hint="default"/>
      </w:rPr>
    </w:lvl>
    <w:lvl w:ilvl="7" w:tplc="9856A3C6">
      <w:start w:val="1"/>
      <w:numFmt w:val="bullet"/>
      <w:lvlText w:val="o"/>
      <w:lvlJc w:val="left"/>
      <w:pPr>
        <w:ind w:left="5760" w:hanging="360"/>
      </w:pPr>
      <w:rPr>
        <w:rFonts w:ascii="Courier New" w:hAnsi="Courier New" w:hint="default"/>
      </w:rPr>
    </w:lvl>
    <w:lvl w:ilvl="8" w:tplc="753286CE">
      <w:start w:val="1"/>
      <w:numFmt w:val="bullet"/>
      <w:lvlText w:val=""/>
      <w:lvlJc w:val="left"/>
      <w:pPr>
        <w:ind w:left="6480" w:hanging="360"/>
      </w:pPr>
      <w:rPr>
        <w:rFonts w:ascii="Wingdings" w:hAnsi="Wingdings" w:hint="default"/>
      </w:rPr>
    </w:lvl>
  </w:abstractNum>
  <w:abstractNum w:abstractNumId="5" w15:restartNumberingAfterBreak="0">
    <w:nsid w:val="22551AB2"/>
    <w:multiLevelType w:val="hybridMultilevel"/>
    <w:tmpl w:val="A34E9430"/>
    <w:lvl w:ilvl="0" w:tplc="8826C4F2">
      <w:start w:val="1"/>
      <w:numFmt w:val="bullet"/>
      <w:lvlText w:val=""/>
      <w:lvlJc w:val="left"/>
      <w:pPr>
        <w:ind w:left="720" w:hanging="360"/>
      </w:pPr>
      <w:rPr>
        <w:rFonts w:ascii="Symbol" w:hAnsi="Symbol" w:hint="default"/>
      </w:rPr>
    </w:lvl>
    <w:lvl w:ilvl="1" w:tplc="1054A762">
      <w:start w:val="1"/>
      <w:numFmt w:val="bullet"/>
      <w:lvlText w:val="o"/>
      <w:lvlJc w:val="left"/>
      <w:pPr>
        <w:ind w:left="1440" w:hanging="360"/>
      </w:pPr>
      <w:rPr>
        <w:rFonts w:ascii="Courier New" w:hAnsi="Courier New" w:hint="default"/>
      </w:rPr>
    </w:lvl>
    <w:lvl w:ilvl="2" w:tplc="FF9805B8">
      <w:start w:val="1"/>
      <w:numFmt w:val="bullet"/>
      <w:lvlText w:val=""/>
      <w:lvlJc w:val="left"/>
      <w:pPr>
        <w:ind w:left="2160" w:hanging="360"/>
      </w:pPr>
      <w:rPr>
        <w:rFonts w:ascii="Wingdings" w:hAnsi="Wingdings" w:hint="default"/>
      </w:rPr>
    </w:lvl>
    <w:lvl w:ilvl="3" w:tplc="B14AD502">
      <w:start w:val="1"/>
      <w:numFmt w:val="bullet"/>
      <w:lvlText w:val=""/>
      <w:lvlJc w:val="left"/>
      <w:pPr>
        <w:ind w:left="2880" w:hanging="360"/>
      </w:pPr>
      <w:rPr>
        <w:rFonts w:ascii="Symbol" w:hAnsi="Symbol" w:hint="default"/>
      </w:rPr>
    </w:lvl>
    <w:lvl w:ilvl="4" w:tplc="57BEAFCE">
      <w:start w:val="1"/>
      <w:numFmt w:val="bullet"/>
      <w:lvlText w:val="o"/>
      <w:lvlJc w:val="left"/>
      <w:pPr>
        <w:ind w:left="3600" w:hanging="360"/>
      </w:pPr>
      <w:rPr>
        <w:rFonts w:ascii="Courier New" w:hAnsi="Courier New" w:hint="default"/>
      </w:rPr>
    </w:lvl>
    <w:lvl w:ilvl="5" w:tplc="234A5162">
      <w:start w:val="1"/>
      <w:numFmt w:val="bullet"/>
      <w:lvlText w:val=""/>
      <w:lvlJc w:val="left"/>
      <w:pPr>
        <w:ind w:left="4320" w:hanging="360"/>
      </w:pPr>
      <w:rPr>
        <w:rFonts w:ascii="Wingdings" w:hAnsi="Wingdings" w:hint="default"/>
      </w:rPr>
    </w:lvl>
    <w:lvl w:ilvl="6" w:tplc="8CC00786">
      <w:start w:val="1"/>
      <w:numFmt w:val="bullet"/>
      <w:lvlText w:val=""/>
      <w:lvlJc w:val="left"/>
      <w:pPr>
        <w:ind w:left="5040" w:hanging="360"/>
      </w:pPr>
      <w:rPr>
        <w:rFonts w:ascii="Symbol" w:hAnsi="Symbol" w:hint="default"/>
      </w:rPr>
    </w:lvl>
    <w:lvl w:ilvl="7" w:tplc="10DE8512">
      <w:start w:val="1"/>
      <w:numFmt w:val="bullet"/>
      <w:lvlText w:val="o"/>
      <w:lvlJc w:val="left"/>
      <w:pPr>
        <w:ind w:left="5760" w:hanging="360"/>
      </w:pPr>
      <w:rPr>
        <w:rFonts w:ascii="Courier New" w:hAnsi="Courier New" w:hint="default"/>
      </w:rPr>
    </w:lvl>
    <w:lvl w:ilvl="8" w:tplc="71206004">
      <w:start w:val="1"/>
      <w:numFmt w:val="bullet"/>
      <w:lvlText w:val=""/>
      <w:lvlJc w:val="left"/>
      <w:pPr>
        <w:ind w:left="6480" w:hanging="360"/>
      </w:pPr>
      <w:rPr>
        <w:rFonts w:ascii="Wingdings" w:hAnsi="Wingdings" w:hint="default"/>
      </w:rPr>
    </w:lvl>
  </w:abstractNum>
  <w:abstractNum w:abstractNumId="6" w15:restartNumberingAfterBreak="0">
    <w:nsid w:val="3D0A1D02"/>
    <w:multiLevelType w:val="hybridMultilevel"/>
    <w:tmpl w:val="9AD434F0"/>
    <w:lvl w:ilvl="0" w:tplc="2BA49E00">
      <w:start w:val="1"/>
      <w:numFmt w:val="bullet"/>
      <w:lvlText w:val=""/>
      <w:lvlJc w:val="left"/>
      <w:pPr>
        <w:ind w:left="720" w:hanging="360"/>
      </w:pPr>
      <w:rPr>
        <w:rFonts w:ascii="Symbol" w:hAnsi="Symbol" w:hint="default"/>
      </w:rPr>
    </w:lvl>
    <w:lvl w:ilvl="1" w:tplc="E9481528">
      <w:start w:val="1"/>
      <w:numFmt w:val="bullet"/>
      <w:lvlText w:val="o"/>
      <w:lvlJc w:val="left"/>
      <w:pPr>
        <w:ind w:left="1440" w:hanging="360"/>
      </w:pPr>
      <w:rPr>
        <w:rFonts w:ascii="Courier New" w:hAnsi="Courier New" w:hint="default"/>
      </w:rPr>
    </w:lvl>
    <w:lvl w:ilvl="2" w:tplc="DE4A51EA">
      <w:start w:val="1"/>
      <w:numFmt w:val="bullet"/>
      <w:lvlText w:val=""/>
      <w:lvlJc w:val="left"/>
      <w:pPr>
        <w:ind w:left="2160" w:hanging="360"/>
      </w:pPr>
      <w:rPr>
        <w:rFonts w:ascii="Wingdings" w:hAnsi="Wingdings" w:hint="default"/>
      </w:rPr>
    </w:lvl>
    <w:lvl w:ilvl="3" w:tplc="F35C92EC">
      <w:start w:val="1"/>
      <w:numFmt w:val="bullet"/>
      <w:lvlText w:val=""/>
      <w:lvlJc w:val="left"/>
      <w:pPr>
        <w:ind w:left="2880" w:hanging="360"/>
      </w:pPr>
      <w:rPr>
        <w:rFonts w:ascii="Symbol" w:hAnsi="Symbol" w:hint="default"/>
      </w:rPr>
    </w:lvl>
    <w:lvl w:ilvl="4" w:tplc="D64EEE12">
      <w:start w:val="1"/>
      <w:numFmt w:val="bullet"/>
      <w:lvlText w:val="o"/>
      <w:lvlJc w:val="left"/>
      <w:pPr>
        <w:ind w:left="3600" w:hanging="360"/>
      </w:pPr>
      <w:rPr>
        <w:rFonts w:ascii="Courier New" w:hAnsi="Courier New" w:hint="default"/>
      </w:rPr>
    </w:lvl>
    <w:lvl w:ilvl="5" w:tplc="CED0946C">
      <w:start w:val="1"/>
      <w:numFmt w:val="bullet"/>
      <w:lvlText w:val=""/>
      <w:lvlJc w:val="left"/>
      <w:pPr>
        <w:ind w:left="4320" w:hanging="360"/>
      </w:pPr>
      <w:rPr>
        <w:rFonts w:ascii="Wingdings" w:hAnsi="Wingdings" w:hint="default"/>
      </w:rPr>
    </w:lvl>
    <w:lvl w:ilvl="6" w:tplc="844CCCF0">
      <w:start w:val="1"/>
      <w:numFmt w:val="bullet"/>
      <w:lvlText w:val=""/>
      <w:lvlJc w:val="left"/>
      <w:pPr>
        <w:ind w:left="5040" w:hanging="360"/>
      </w:pPr>
      <w:rPr>
        <w:rFonts w:ascii="Symbol" w:hAnsi="Symbol" w:hint="default"/>
      </w:rPr>
    </w:lvl>
    <w:lvl w:ilvl="7" w:tplc="99FE2D40">
      <w:start w:val="1"/>
      <w:numFmt w:val="bullet"/>
      <w:lvlText w:val="o"/>
      <w:lvlJc w:val="left"/>
      <w:pPr>
        <w:ind w:left="5760" w:hanging="360"/>
      </w:pPr>
      <w:rPr>
        <w:rFonts w:ascii="Courier New" w:hAnsi="Courier New" w:hint="default"/>
      </w:rPr>
    </w:lvl>
    <w:lvl w:ilvl="8" w:tplc="557CDBD4">
      <w:start w:val="1"/>
      <w:numFmt w:val="bullet"/>
      <w:lvlText w:val=""/>
      <w:lvlJc w:val="left"/>
      <w:pPr>
        <w:ind w:left="6480" w:hanging="360"/>
      </w:pPr>
      <w:rPr>
        <w:rFonts w:ascii="Wingdings" w:hAnsi="Wingdings" w:hint="default"/>
      </w:rPr>
    </w:lvl>
  </w:abstractNum>
  <w:abstractNum w:abstractNumId="7" w15:restartNumberingAfterBreak="0">
    <w:nsid w:val="4628D9EA"/>
    <w:multiLevelType w:val="hybridMultilevel"/>
    <w:tmpl w:val="268407C8"/>
    <w:lvl w:ilvl="0" w:tplc="EFF635D0">
      <w:start w:val="1"/>
      <w:numFmt w:val="bullet"/>
      <w:lvlText w:val=""/>
      <w:lvlJc w:val="left"/>
      <w:pPr>
        <w:ind w:left="720" w:hanging="360"/>
      </w:pPr>
      <w:rPr>
        <w:rFonts w:ascii="Symbol" w:hAnsi="Symbol" w:hint="default"/>
      </w:rPr>
    </w:lvl>
    <w:lvl w:ilvl="1" w:tplc="E596568C">
      <w:start w:val="1"/>
      <w:numFmt w:val="bullet"/>
      <w:lvlText w:val="o"/>
      <w:lvlJc w:val="left"/>
      <w:pPr>
        <w:ind w:left="1440" w:hanging="360"/>
      </w:pPr>
      <w:rPr>
        <w:rFonts w:ascii="Courier New" w:hAnsi="Courier New" w:hint="default"/>
      </w:rPr>
    </w:lvl>
    <w:lvl w:ilvl="2" w:tplc="9D72CADE">
      <w:start w:val="1"/>
      <w:numFmt w:val="bullet"/>
      <w:lvlText w:val=""/>
      <w:lvlJc w:val="left"/>
      <w:pPr>
        <w:ind w:left="2160" w:hanging="360"/>
      </w:pPr>
      <w:rPr>
        <w:rFonts w:ascii="Wingdings" w:hAnsi="Wingdings" w:hint="default"/>
      </w:rPr>
    </w:lvl>
    <w:lvl w:ilvl="3" w:tplc="3ED02EEA">
      <w:start w:val="1"/>
      <w:numFmt w:val="bullet"/>
      <w:lvlText w:val=""/>
      <w:lvlJc w:val="left"/>
      <w:pPr>
        <w:ind w:left="2880" w:hanging="360"/>
      </w:pPr>
      <w:rPr>
        <w:rFonts w:ascii="Symbol" w:hAnsi="Symbol" w:hint="default"/>
      </w:rPr>
    </w:lvl>
    <w:lvl w:ilvl="4" w:tplc="4EF22212">
      <w:start w:val="1"/>
      <w:numFmt w:val="bullet"/>
      <w:lvlText w:val="o"/>
      <w:lvlJc w:val="left"/>
      <w:pPr>
        <w:ind w:left="3600" w:hanging="360"/>
      </w:pPr>
      <w:rPr>
        <w:rFonts w:ascii="Courier New" w:hAnsi="Courier New" w:hint="default"/>
      </w:rPr>
    </w:lvl>
    <w:lvl w:ilvl="5" w:tplc="66647E2A">
      <w:start w:val="1"/>
      <w:numFmt w:val="bullet"/>
      <w:lvlText w:val=""/>
      <w:lvlJc w:val="left"/>
      <w:pPr>
        <w:ind w:left="4320" w:hanging="360"/>
      </w:pPr>
      <w:rPr>
        <w:rFonts w:ascii="Wingdings" w:hAnsi="Wingdings" w:hint="default"/>
      </w:rPr>
    </w:lvl>
    <w:lvl w:ilvl="6" w:tplc="AC944AF2">
      <w:start w:val="1"/>
      <w:numFmt w:val="bullet"/>
      <w:lvlText w:val=""/>
      <w:lvlJc w:val="left"/>
      <w:pPr>
        <w:ind w:left="5040" w:hanging="360"/>
      </w:pPr>
      <w:rPr>
        <w:rFonts w:ascii="Symbol" w:hAnsi="Symbol" w:hint="default"/>
      </w:rPr>
    </w:lvl>
    <w:lvl w:ilvl="7" w:tplc="B8BCB9C2">
      <w:start w:val="1"/>
      <w:numFmt w:val="bullet"/>
      <w:lvlText w:val="o"/>
      <w:lvlJc w:val="left"/>
      <w:pPr>
        <w:ind w:left="5760" w:hanging="360"/>
      </w:pPr>
      <w:rPr>
        <w:rFonts w:ascii="Courier New" w:hAnsi="Courier New" w:hint="default"/>
      </w:rPr>
    </w:lvl>
    <w:lvl w:ilvl="8" w:tplc="E7DA3958">
      <w:start w:val="1"/>
      <w:numFmt w:val="bullet"/>
      <w:lvlText w:val=""/>
      <w:lvlJc w:val="left"/>
      <w:pPr>
        <w:ind w:left="6480" w:hanging="360"/>
      </w:pPr>
      <w:rPr>
        <w:rFonts w:ascii="Wingdings" w:hAnsi="Wingdings" w:hint="default"/>
      </w:rPr>
    </w:lvl>
  </w:abstractNum>
  <w:abstractNum w:abstractNumId="8" w15:restartNumberingAfterBreak="0">
    <w:nsid w:val="49F0923E"/>
    <w:multiLevelType w:val="hybridMultilevel"/>
    <w:tmpl w:val="3746C742"/>
    <w:lvl w:ilvl="0" w:tplc="E19A8680">
      <w:start w:val="1"/>
      <w:numFmt w:val="bullet"/>
      <w:lvlText w:val=""/>
      <w:lvlJc w:val="left"/>
      <w:pPr>
        <w:ind w:left="720" w:hanging="360"/>
      </w:pPr>
      <w:rPr>
        <w:rFonts w:ascii="Symbol" w:hAnsi="Symbol" w:hint="default"/>
      </w:rPr>
    </w:lvl>
    <w:lvl w:ilvl="1" w:tplc="544C4D74">
      <w:start w:val="1"/>
      <w:numFmt w:val="bullet"/>
      <w:lvlText w:val="o"/>
      <w:lvlJc w:val="left"/>
      <w:pPr>
        <w:ind w:left="1440" w:hanging="360"/>
      </w:pPr>
      <w:rPr>
        <w:rFonts w:ascii="Courier New" w:hAnsi="Courier New" w:hint="default"/>
      </w:rPr>
    </w:lvl>
    <w:lvl w:ilvl="2" w:tplc="E904D110">
      <w:start w:val="1"/>
      <w:numFmt w:val="bullet"/>
      <w:lvlText w:val=""/>
      <w:lvlJc w:val="left"/>
      <w:pPr>
        <w:ind w:left="2160" w:hanging="360"/>
      </w:pPr>
      <w:rPr>
        <w:rFonts w:ascii="Wingdings" w:hAnsi="Wingdings" w:hint="default"/>
      </w:rPr>
    </w:lvl>
    <w:lvl w:ilvl="3" w:tplc="E6D664E0">
      <w:start w:val="1"/>
      <w:numFmt w:val="bullet"/>
      <w:lvlText w:val=""/>
      <w:lvlJc w:val="left"/>
      <w:pPr>
        <w:ind w:left="2880" w:hanging="360"/>
      </w:pPr>
      <w:rPr>
        <w:rFonts w:ascii="Symbol" w:hAnsi="Symbol" w:hint="default"/>
      </w:rPr>
    </w:lvl>
    <w:lvl w:ilvl="4" w:tplc="4044EAF6">
      <w:start w:val="1"/>
      <w:numFmt w:val="bullet"/>
      <w:lvlText w:val="o"/>
      <w:lvlJc w:val="left"/>
      <w:pPr>
        <w:ind w:left="3600" w:hanging="360"/>
      </w:pPr>
      <w:rPr>
        <w:rFonts w:ascii="Courier New" w:hAnsi="Courier New" w:hint="default"/>
      </w:rPr>
    </w:lvl>
    <w:lvl w:ilvl="5" w:tplc="A4BE8A98">
      <w:start w:val="1"/>
      <w:numFmt w:val="bullet"/>
      <w:lvlText w:val=""/>
      <w:lvlJc w:val="left"/>
      <w:pPr>
        <w:ind w:left="4320" w:hanging="360"/>
      </w:pPr>
      <w:rPr>
        <w:rFonts w:ascii="Wingdings" w:hAnsi="Wingdings" w:hint="default"/>
      </w:rPr>
    </w:lvl>
    <w:lvl w:ilvl="6" w:tplc="7D78DB1C">
      <w:start w:val="1"/>
      <w:numFmt w:val="bullet"/>
      <w:lvlText w:val=""/>
      <w:lvlJc w:val="left"/>
      <w:pPr>
        <w:ind w:left="5040" w:hanging="360"/>
      </w:pPr>
      <w:rPr>
        <w:rFonts w:ascii="Symbol" w:hAnsi="Symbol" w:hint="default"/>
      </w:rPr>
    </w:lvl>
    <w:lvl w:ilvl="7" w:tplc="6FA8E21E">
      <w:start w:val="1"/>
      <w:numFmt w:val="bullet"/>
      <w:lvlText w:val="o"/>
      <w:lvlJc w:val="left"/>
      <w:pPr>
        <w:ind w:left="5760" w:hanging="360"/>
      </w:pPr>
      <w:rPr>
        <w:rFonts w:ascii="Courier New" w:hAnsi="Courier New" w:hint="default"/>
      </w:rPr>
    </w:lvl>
    <w:lvl w:ilvl="8" w:tplc="130E6E0E">
      <w:start w:val="1"/>
      <w:numFmt w:val="bullet"/>
      <w:lvlText w:val=""/>
      <w:lvlJc w:val="left"/>
      <w:pPr>
        <w:ind w:left="6480" w:hanging="360"/>
      </w:pPr>
      <w:rPr>
        <w:rFonts w:ascii="Wingdings" w:hAnsi="Wingdings" w:hint="default"/>
      </w:rPr>
    </w:lvl>
  </w:abstractNum>
  <w:abstractNum w:abstractNumId="9" w15:restartNumberingAfterBreak="0">
    <w:nsid w:val="4A9BDA48"/>
    <w:multiLevelType w:val="hybridMultilevel"/>
    <w:tmpl w:val="8F508BE6"/>
    <w:lvl w:ilvl="0" w:tplc="7F8A344A">
      <w:numFmt w:val="bullet"/>
      <w:lvlText w:val=""/>
      <w:lvlJc w:val="left"/>
      <w:pPr>
        <w:ind w:left="720" w:hanging="360"/>
      </w:pPr>
      <w:rPr>
        <w:rFonts w:ascii="Wingdings" w:hAnsi="Wingdings" w:hint="default"/>
      </w:rPr>
    </w:lvl>
    <w:lvl w:ilvl="1" w:tplc="7542D588">
      <w:start w:val="1"/>
      <w:numFmt w:val="bullet"/>
      <w:lvlText w:val="o"/>
      <w:lvlJc w:val="left"/>
      <w:pPr>
        <w:ind w:left="1440" w:hanging="360"/>
      </w:pPr>
      <w:rPr>
        <w:rFonts w:ascii="Courier New" w:hAnsi="Courier New" w:hint="default"/>
      </w:rPr>
    </w:lvl>
    <w:lvl w:ilvl="2" w:tplc="41604F0A">
      <w:start w:val="1"/>
      <w:numFmt w:val="bullet"/>
      <w:lvlText w:val=""/>
      <w:lvlJc w:val="left"/>
      <w:pPr>
        <w:ind w:left="2160" w:hanging="360"/>
      </w:pPr>
      <w:rPr>
        <w:rFonts w:ascii="Wingdings" w:hAnsi="Wingdings" w:hint="default"/>
      </w:rPr>
    </w:lvl>
    <w:lvl w:ilvl="3" w:tplc="942243D2">
      <w:start w:val="1"/>
      <w:numFmt w:val="bullet"/>
      <w:lvlText w:val=""/>
      <w:lvlJc w:val="left"/>
      <w:pPr>
        <w:ind w:left="2880" w:hanging="360"/>
      </w:pPr>
      <w:rPr>
        <w:rFonts w:ascii="Symbol" w:hAnsi="Symbol" w:hint="default"/>
      </w:rPr>
    </w:lvl>
    <w:lvl w:ilvl="4" w:tplc="633C5FA0">
      <w:start w:val="1"/>
      <w:numFmt w:val="bullet"/>
      <w:lvlText w:val="o"/>
      <w:lvlJc w:val="left"/>
      <w:pPr>
        <w:ind w:left="3600" w:hanging="360"/>
      </w:pPr>
      <w:rPr>
        <w:rFonts w:ascii="Courier New" w:hAnsi="Courier New" w:hint="default"/>
      </w:rPr>
    </w:lvl>
    <w:lvl w:ilvl="5" w:tplc="0B24B84E">
      <w:start w:val="1"/>
      <w:numFmt w:val="bullet"/>
      <w:lvlText w:val=""/>
      <w:lvlJc w:val="left"/>
      <w:pPr>
        <w:ind w:left="4320" w:hanging="360"/>
      </w:pPr>
      <w:rPr>
        <w:rFonts w:ascii="Wingdings" w:hAnsi="Wingdings" w:hint="default"/>
      </w:rPr>
    </w:lvl>
    <w:lvl w:ilvl="6" w:tplc="2C82F61C">
      <w:start w:val="1"/>
      <w:numFmt w:val="bullet"/>
      <w:lvlText w:val=""/>
      <w:lvlJc w:val="left"/>
      <w:pPr>
        <w:ind w:left="5040" w:hanging="360"/>
      </w:pPr>
      <w:rPr>
        <w:rFonts w:ascii="Symbol" w:hAnsi="Symbol" w:hint="default"/>
      </w:rPr>
    </w:lvl>
    <w:lvl w:ilvl="7" w:tplc="2A32426A">
      <w:start w:val="1"/>
      <w:numFmt w:val="bullet"/>
      <w:lvlText w:val="o"/>
      <w:lvlJc w:val="left"/>
      <w:pPr>
        <w:ind w:left="5760" w:hanging="360"/>
      </w:pPr>
      <w:rPr>
        <w:rFonts w:ascii="Courier New" w:hAnsi="Courier New" w:hint="default"/>
      </w:rPr>
    </w:lvl>
    <w:lvl w:ilvl="8" w:tplc="62CCB16C">
      <w:start w:val="1"/>
      <w:numFmt w:val="bullet"/>
      <w:lvlText w:val=""/>
      <w:lvlJc w:val="left"/>
      <w:pPr>
        <w:ind w:left="6480" w:hanging="360"/>
      </w:pPr>
      <w:rPr>
        <w:rFonts w:ascii="Wingdings" w:hAnsi="Wingdings" w:hint="default"/>
      </w:rPr>
    </w:lvl>
  </w:abstractNum>
  <w:abstractNum w:abstractNumId="10" w15:restartNumberingAfterBreak="0">
    <w:nsid w:val="56005401"/>
    <w:multiLevelType w:val="hybridMultilevel"/>
    <w:tmpl w:val="0D60964C"/>
    <w:lvl w:ilvl="0" w:tplc="8316521E">
      <w:start w:val="1"/>
      <w:numFmt w:val="bullet"/>
      <w:lvlText w:val=""/>
      <w:lvlJc w:val="left"/>
      <w:pPr>
        <w:ind w:left="720" w:hanging="360"/>
      </w:pPr>
      <w:rPr>
        <w:rFonts w:ascii="Symbol" w:hAnsi="Symbol" w:hint="default"/>
      </w:rPr>
    </w:lvl>
    <w:lvl w:ilvl="1" w:tplc="B8900E0E">
      <w:start w:val="1"/>
      <w:numFmt w:val="bullet"/>
      <w:lvlText w:val="o"/>
      <w:lvlJc w:val="left"/>
      <w:pPr>
        <w:ind w:left="1440" w:hanging="360"/>
      </w:pPr>
      <w:rPr>
        <w:rFonts w:ascii="Courier New" w:hAnsi="Courier New" w:hint="default"/>
      </w:rPr>
    </w:lvl>
    <w:lvl w:ilvl="2" w:tplc="7CCE7C76">
      <w:start w:val="1"/>
      <w:numFmt w:val="bullet"/>
      <w:lvlText w:val=""/>
      <w:lvlJc w:val="left"/>
      <w:pPr>
        <w:ind w:left="2160" w:hanging="360"/>
      </w:pPr>
      <w:rPr>
        <w:rFonts w:ascii="Wingdings" w:hAnsi="Wingdings" w:hint="default"/>
      </w:rPr>
    </w:lvl>
    <w:lvl w:ilvl="3" w:tplc="33B885BA">
      <w:start w:val="1"/>
      <w:numFmt w:val="bullet"/>
      <w:lvlText w:val=""/>
      <w:lvlJc w:val="left"/>
      <w:pPr>
        <w:ind w:left="2880" w:hanging="360"/>
      </w:pPr>
      <w:rPr>
        <w:rFonts w:ascii="Symbol" w:hAnsi="Symbol" w:hint="default"/>
      </w:rPr>
    </w:lvl>
    <w:lvl w:ilvl="4" w:tplc="C67C0C0E">
      <w:start w:val="1"/>
      <w:numFmt w:val="bullet"/>
      <w:lvlText w:val="o"/>
      <w:lvlJc w:val="left"/>
      <w:pPr>
        <w:ind w:left="3600" w:hanging="360"/>
      </w:pPr>
      <w:rPr>
        <w:rFonts w:ascii="Courier New" w:hAnsi="Courier New" w:hint="default"/>
      </w:rPr>
    </w:lvl>
    <w:lvl w:ilvl="5" w:tplc="DC60EDFE">
      <w:start w:val="1"/>
      <w:numFmt w:val="bullet"/>
      <w:lvlText w:val=""/>
      <w:lvlJc w:val="left"/>
      <w:pPr>
        <w:ind w:left="4320" w:hanging="360"/>
      </w:pPr>
      <w:rPr>
        <w:rFonts w:ascii="Wingdings" w:hAnsi="Wingdings" w:hint="default"/>
      </w:rPr>
    </w:lvl>
    <w:lvl w:ilvl="6" w:tplc="DCB6F550">
      <w:start w:val="1"/>
      <w:numFmt w:val="bullet"/>
      <w:lvlText w:val=""/>
      <w:lvlJc w:val="left"/>
      <w:pPr>
        <w:ind w:left="5040" w:hanging="360"/>
      </w:pPr>
      <w:rPr>
        <w:rFonts w:ascii="Symbol" w:hAnsi="Symbol" w:hint="default"/>
      </w:rPr>
    </w:lvl>
    <w:lvl w:ilvl="7" w:tplc="979A9082">
      <w:start w:val="1"/>
      <w:numFmt w:val="bullet"/>
      <w:lvlText w:val="o"/>
      <w:lvlJc w:val="left"/>
      <w:pPr>
        <w:ind w:left="5760" w:hanging="360"/>
      </w:pPr>
      <w:rPr>
        <w:rFonts w:ascii="Courier New" w:hAnsi="Courier New" w:hint="default"/>
      </w:rPr>
    </w:lvl>
    <w:lvl w:ilvl="8" w:tplc="3920F37C">
      <w:start w:val="1"/>
      <w:numFmt w:val="bullet"/>
      <w:lvlText w:val=""/>
      <w:lvlJc w:val="left"/>
      <w:pPr>
        <w:ind w:left="6480" w:hanging="360"/>
      </w:pPr>
      <w:rPr>
        <w:rFonts w:ascii="Wingdings" w:hAnsi="Wingdings" w:hint="default"/>
      </w:rPr>
    </w:lvl>
  </w:abstractNum>
  <w:abstractNum w:abstractNumId="11" w15:restartNumberingAfterBreak="0">
    <w:nsid w:val="56D0E4CC"/>
    <w:multiLevelType w:val="hybridMultilevel"/>
    <w:tmpl w:val="FFFFFFFF"/>
    <w:lvl w:ilvl="0" w:tplc="FD94CDDA">
      <w:start w:val="1"/>
      <w:numFmt w:val="bullet"/>
      <w:lvlText w:val="-"/>
      <w:lvlJc w:val="left"/>
      <w:pPr>
        <w:ind w:left="720" w:hanging="360"/>
      </w:pPr>
      <w:rPr>
        <w:rFonts w:ascii="Aptos" w:hAnsi="Aptos" w:hint="default"/>
      </w:rPr>
    </w:lvl>
    <w:lvl w:ilvl="1" w:tplc="B702782C">
      <w:start w:val="1"/>
      <w:numFmt w:val="bullet"/>
      <w:lvlText w:val="o"/>
      <w:lvlJc w:val="left"/>
      <w:pPr>
        <w:ind w:left="1440" w:hanging="360"/>
      </w:pPr>
      <w:rPr>
        <w:rFonts w:ascii="Courier New" w:hAnsi="Courier New" w:hint="default"/>
      </w:rPr>
    </w:lvl>
    <w:lvl w:ilvl="2" w:tplc="C400A696">
      <w:start w:val="1"/>
      <w:numFmt w:val="bullet"/>
      <w:lvlText w:val=""/>
      <w:lvlJc w:val="left"/>
      <w:pPr>
        <w:ind w:left="2160" w:hanging="360"/>
      </w:pPr>
      <w:rPr>
        <w:rFonts w:ascii="Wingdings" w:hAnsi="Wingdings" w:hint="default"/>
      </w:rPr>
    </w:lvl>
    <w:lvl w:ilvl="3" w:tplc="7674E08C">
      <w:start w:val="1"/>
      <w:numFmt w:val="bullet"/>
      <w:lvlText w:val=""/>
      <w:lvlJc w:val="left"/>
      <w:pPr>
        <w:ind w:left="2880" w:hanging="360"/>
      </w:pPr>
      <w:rPr>
        <w:rFonts w:ascii="Symbol" w:hAnsi="Symbol" w:hint="default"/>
      </w:rPr>
    </w:lvl>
    <w:lvl w:ilvl="4" w:tplc="F0F22D38">
      <w:start w:val="1"/>
      <w:numFmt w:val="bullet"/>
      <w:lvlText w:val="o"/>
      <w:lvlJc w:val="left"/>
      <w:pPr>
        <w:ind w:left="3600" w:hanging="360"/>
      </w:pPr>
      <w:rPr>
        <w:rFonts w:ascii="Courier New" w:hAnsi="Courier New" w:hint="default"/>
      </w:rPr>
    </w:lvl>
    <w:lvl w:ilvl="5" w:tplc="468A95A0">
      <w:start w:val="1"/>
      <w:numFmt w:val="bullet"/>
      <w:lvlText w:val=""/>
      <w:lvlJc w:val="left"/>
      <w:pPr>
        <w:ind w:left="4320" w:hanging="360"/>
      </w:pPr>
      <w:rPr>
        <w:rFonts w:ascii="Wingdings" w:hAnsi="Wingdings" w:hint="default"/>
      </w:rPr>
    </w:lvl>
    <w:lvl w:ilvl="6" w:tplc="BD7010BC">
      <w:start w:val="1"/>
      <w:numFmt w:val="bullet"/>
      <w:lvlText w:val=""/>
      <w:lvlJc w:val="left"/>
      <w:pPr>
        <w:ind w:left="5040" w:hanging="360"/>
      </w:pPr>
      <w:rPr>
        <w:rFonts w:ascii="Symbol" w:hAnsi="Symbol" w:hint="default"/>
      </w:rPr>
    </w:lvl>
    <w:lvl w:ilvl="7" w:tplc="44E2DD72">
      <w:start w:val="1"/>
      <w:numFmt w:val="bullet"/>
      <w:lvlText w:val="o"/>
      <w:lvlJc w:val="left"/>
      <w:pPr>
        <w:ind w:left="5760" w:hanging="360"/>
      </w:pPr>
      <w:rPr>
        <w:rFonts w:ascii="Courier New" w:hAnsi="Courier New" w:hint="default"/>
      </w:rPr>
    </w:lvl>
    <w:lvl w:ilvl="8" w:tplc="DBDC1560">
      <w:start w:val="1"/>
      <w:numFmt w:val="bullet"/>
      <w:lvlText w:val=""/>
      <w:lvlJc w:val="left"/>
      <w:pPr>
        <w:ind w:left="6480" w:hanging="360"/>
      </w:pPr>
      <w:rPr>
        <w:rFonts w:ascii="Wingdings" w:hAnsi="Wingdings" w:hint="default"/>
      </w:rPr>
    </w:lvl>
  </w:abstractNum>
  <w:abstractNum w:abstractNumId="12" w15:restartNumberingAfterBreak="0">
    <w:nsid w:val="585E94D2"/>
    <w:multiLevelType w:val="hybridMultilevel"/>
    <w:tmpl w:val="EA705372"/>
    <w:lvl w:ilvl="0" w:tplc="9ACCF7B8">
      <w:start w:val="1"/>
      <w:numFmt w:val="bullet"/>
      <w:lvlText w:val=""/>
      <w:lvlJc w:val="left"/>
      <w:pPr>
        <w:ind w:left="720" w:hanging="360"/>
      </w:pPr>
      <w:rPr>
        <w:rFonts w:ascii="Symbol" w:hAnsi="Symbol" w:hint="default"/>
      </w:rPr>
    </w:lvl>
    <w:lvl w:ilvl="1" w:tplc="D0726236">
      <w:start w:val="1"/>
      <w:numFmt w:val="bullet"/>
      <w:lvlText w:val="o"/>
      <w:lvlJc w:val="left"/>
      <w:pPr>
        <w:ind w:left="1440" w:hanging="360"/>
      </w:pPr>
      <w:rPr>
        <w:rFonts w:ascii="Courier New" w:hAnsi="Courier New" w:hint="default"/>
      </w:rPr>
    </w:lvl>
    <w:lvl w:ilvl="2" w:tplc="0568B4A4">
      <w:start w:val="1"/>
      <w:numFmt w:val="bullet"/>
      <w:lvlText w:val=""/>
      <w:lvlJc w:val="left"/>
      <w:pPr>
        <w:ind w:left="2160" w:hanging="360"/>
      </w:pPr>
      <w:rPr>
        <w:rFonts w:ascii="Wingdings" w:hAnsi="Wingdings" w:hint="default"/>
      </w:rPr>
    </w:lvl>
    <w:lvl w:ilvl="3" w:tplc="87869638">
      <w:start w:val="1"/>
      <w:numFmt w:val="bullet"/>
      <w:lvlText w:val=""/>
      <w:lvlJc w:val="left"/>
      <w:pPr>
        <w:ind w:left="2880" w:hanging="360"/>
      </w:pPr>
      <w:rPr>
        <w:rFonts w:ascii="Symbol" w:hAnsi="Symbol" w:hint="default"/>
      </w:rPr>
    </w:lvl>
    <w:lvl w:ilvl="4" w:tplc="5FF01968">
      <w:start w:val="1"/>
      <w:numFmt w:val="bullet"/>
      <w:lvlText w:val="o"/>
      <w:lvlJc w:val="left"/>
      <w:pPr>
        <w:ind w:left="3600" w:hanging="360"/>
      </w:pPr>
      <w:rPr>
        <w:rFonts w:ascii="Courier New" w:hAnsi="Courier New" w:hint="default"/>
      </w:rPr>
    </w:lvl>
    <w:lvl w:ilvl="5" w:tplc="ED8A583A">
      <w:start w:val="1"/>
      <w:numFmt w:val="bullet"/>
      <w:lvlText w:val=""/>
      <w:lvlJc w:val="left"/>
      <w:pPr>
        <w:ind w:left="4320" w:hanging="360"/>
      </w:pPr>
      <w:rPr>
        <w:rFonts w:ascii="Wingdings" w:hAnsi="Wingdings" w:hint="default"/>
      </w:rPr>
    </w:lvl>
    <w:lvl w:ilvl="6" w:tplc="15246AB0">
      <w:start w:val="1"/>
      <w:numFmt w:val="bullet"/>
      <w:lvlText w:val=""/>
      <w:lvlJc w:val="left"/>
      <w:pPr>
        <w:ind w:left="5040" w:hanging="360"/>
      </w:pPr>
      <w:rPr>
        <w:rFonts w:ascii="Symbol" w:hAnsi="Symbol" w:hint="default"/>
      </w:rPr>
    </w:lvl>
    <w:lvl w:ilvl="7" w:tplc="82BE34DE">
      <w:start w:val="1"/>
      <w:numFmt w:val="bullet"/>
      <w:lvlText w:val="o"/>
      <w:lvlJc w:val="left"/>
      <w:pPr>
        <w:ind w:left="5760" w:hanging="360"/>
      </w:pPr>
      <w:rPr>
        <w:rFonts w:ascii="Courier New" w:hAnsi="Courier New" w:hint="default"/>
      </w:rPr>
    </w:lvl>
    <w:lvl w:ilvl="8" w:tplc="AC9C4960">
      <w:start w:val="1"/>
      <w:numFmt w:val="bullet"/>
      <w:lvlText w:val=""/>
      <w:lvlJc w:val="left"/>
      <w:pPr>
        <w:ind w:left="6480" w:hanging="360"/>
      </w:pPr>
      <w:rPr>
        <w:rFonts w:ascii="Wingdings" w:hAnsi="Wingdings" w:hint="default"/>
      </w:rPr>
    </w:lvl>
  </w:abstractNum>
  <w:abstractNum w:abstractNumId="13" w15:restartNumberingAfterBreak="0">
    <w:nsid w:val="5BF6D1EF"/>
    <w:multiLevelType w:val="hybridMultilevel"/>
    <w:tmpl w:val="FFFFFFFF"/>
    <w:lvl w:ilvl="0" w:tplc="DF7C4B8E">
      <w:start w:val="1"/>
      <w:numFmt w:val="bullet"/>
      <w:lvlText w:val=""/>
      <w:lvlJc w:val="left"/>
      <w:pPr>
        <w:ind w:left="720" w:hanging="360"/>
      </w:pPr>
      <w:rPr>
        <w:rFonts w:ascii="Symbol" w:hAnsi="Symbol" w:hint="default"/>
      </w:rPr>
    </w:lvl>
    <w:lvl w:ilvl="1" w:tplc="FEBE6462">
      <w:start w:val="1"/>
      <w:numFmt w:val="bullet"/>
      <w:lvlText w:val="o"/>
      <w:lvlJc w:val="left"/>
      <w:pPr>
        <w:ind w:left="1440" w:hanging="360"/>
      </w:pPr>
      <w:rPr>
        <w:rFonts w:ascii="Courier New" w:hAnsi="Courier New" w:hint="default"/>
      </w:rPr>
    </w:lvl>
    <w:lvl w:ilvl="2" w:tplc="9EEEBE62">
      <w:start w:val="1"/>
      <w:numFmt w:val="bullet"/>
      <w:lvlText w:val=""/>
      <w:lvlJc w:val="left"/>
      <w:pPr>
        <w:ind w:left="2160" w:hanging="360"/>
      </w:pPr>
      <w:rPr>
        <w:rFonts w:ascii="Wingdings" w:hAnsi="Wingdings" w:hint="default"/>
      </w:rPr>
    </w:lvl>
    <w:lvl w:ilvl="3" w:tplc="4776DCBA">
      <w:start w:val="1"/>
      <w:numFmt w:val="bullet"/>
      <w:lvlText w:val=""/>
      <w:lvlJc w:val="left"/>
      <w:pPr>
        <w:ind w:left="2880" w:hanging="360"/>
      </w:pPr>
      <w:rPr>
        <w:rFonts w:ascii="Symbol" w:hAnsi="Symbol" w:hint="default"/>
      </w:rPr>
    </w:lvl>
    <w:lvl w:ilvl="4" w:tplc="77E2A3B2">
      <w:start w:val="1"/>
      <w:numFmt w:val="bullet"/>
      <w:lvlText w:val="o"/>
      <w:lvlJc w:val="left"/>
      <w:pPr>
        <w:ind w:left="3600" w:hanging="360"/>
      </w:pPr>
      <w:rPr>
        <w:rFonts w:ascii="Courier New" w:hAnsi="Courier New" w:hint="default"/>
      </w:rPr>
    </w:lvl>
    <w:lvl w:ilvl="5" w:tplc="7414A19E">
      <w:start w:val="1"/>
      <w:numFmt w:val="bullet"/>
      <w:lvlText w:val=""/>
      <w:lvlJc w:val="left"/>
      <w:pPr>
        <w:ind w:left="4320" w:hanging="360"/>
      </w:pPr>
      <w:rPr>
        <w:rFonts w:ascii="Wingdings" w:hAnsi="Wingdings" w:hint="default"/>
      </w:rPr>
    </w:lvl>
    <w:lvl w:ilvl="6" w:tplc="B564628C">
      <w:start w:val="1"/>
      <w:numFmt w:val="bullet"/>
      <w:lvlText w:val=""/>
      <w:lvlJc w:val="left"/>
      <w:pPr>
        <w:ind w:left="5040" w:hanging="360"/>
      </w:pPr>
      <w:rPr>
        <w:rFonts w:ascii="Symbol" w:hAnsi="Symbol" w:hint="default"/>
      </w:rPr>
    </w:lvl>
    <w:lvl w:ilvl="7" w:tplc="0A1AFF98">
      <w:start w:val="1"/>
      <w:numFmt w:val="bullet"/>
      <w:lvlText w:val="o"/>
      <w:lvlJc w:val="left"/>
      <w:pPr>
        <w:ind w:left="5760" w:hanging="360"/>
      </w:pPr>
      <w:rPr>
        <w:rFonts w:ascii="Courier New" w:hAnsi="Courier New" w:hint="default"/>
      </w:rPr>
    </w:lvl>
    <w:lvl w:ilvl="8" w:tplc="272E5A1E">
      <w:start w:val="1"/>
      <w:numFmt w:val="bullet"/>
      <w:lvlText w:val=""/>
      <w:lvlJc w:val="left"/>
      <w:pPr>
        <w:ind w:left="6480" w:hanging="360"/>
      </w:pPr>
      <w:rPr>
        <w:rFonts w:ascii="Wingdings" w:hAnsi="Wingdings" w:hint="default"/>
      </w:rPr>
    </w:lvl>
  </w:abstractNum>
  <w:abstractNum w:abstractNumId="14" w15:restartNumberingAfterBreak="0">
    <w:nsid w:val="5EB64E78"/>
    <w:multiLevelType w:val="hybridMultilevel"/>
    <w:tmpl w:val="FFFFFFFF"/>
    <w:lvl w:ilvl="0" w:tplc="A118C2EE">
      <w:start w:val="1"/>
      <w:numFmt w:val="bullet"/>
      <w:lvlText w:val="-"/>
      <w:lvlJc w:val="left"/>
      <w:pPr>
        <w:ind w:left="720" w:hanging="360"/>
      </w:pPr>
      <w:rPr>
        <w:rFonts w:ascii="Aptos" w:hAnsi="Aptos" w:hint="default"/>
      </w:rPr>
    </w:lvl>
    <w:lvl w:ilvl="1" w:tplc="B29A529E">
      <w:start w:val="1"/>
      <w:numFmt w:val="bullet"/>
      <w:lvlText w:val="o"/>
      <w:lvlJc w:val="left"/>
      <w:pPr>
        <w:ind w:left="1440" w:hanging="360"/>
      </w:pPr>
      <w:rPr>
        <w:rFonts w:ascii="Courier New" w:hAnsi="Courier New" w:hint="default"/>
      </w:rPr>
    </w:lvl>
    <w:lvl w:ilvl="2" w:tplc="D368E304">
      <w:start w:val="1"/>
      <w:numFmt w:val="bullet"/>
      <w:lvlText w:val=""/>
      <w:lvlJc w:val="left"/>
      <w:pPr>
        <w:ind w:left="2160" w:hanging="360"/>
      </w:pPr>
      <w:rPr>
        <w:rFonts w:ascii="Wingdings" w:hAnsi="Wingdings" w:hint="default"/>
      </w:rPr>
    </w:lvl>
    <w:lvl w:ilvl="3" w:tplc="BE4E52B6">
      <w:start w:val="1"/>
      <w:numFmt w:val="bullet"/>
      <w:lvlText w:val=""/>
      <w:lvlJc w:val="left"/>
      <w:pPr>
        <w:ind w:left="2880" w:hanging="360"/>
      </w:pPr>
      <w:rPr>
        <w:rFonts w:ascii="Symbol" w:hAnsi="Symbol" w:hint="default"/>
      </w:rPr>
    </w:lvl>
    <w:lvl w:ilvl="4" w:tplc="936888F0">
      <w:start w:val="1"/>
      <w:numFmt w:val="bullet"/>
      <w:lvlText w:val="o"/>
      <w:lvlJc w:val="left"/>
      <w:pPr>
        <w:ind w:left="3600" w:hanging="360"/>
      </w:pPr>
      <w:rPr>
        <w:rFonts w:ascii="Courier New" w:hAnsi="Courier New" w:hint="default"/>
      </w:rPr>
    </w:lvl>
    <w:lvl w:ilvl="5" w:tplc="CC627776">
      <w:start w:val="1"/>
      <w:numFmt w:val="bullet"/>
      <w:lvlText w:val=""/>
      <w:lvlJc w:val="left"/>
      <w:pPr>
        <w:ind w:left="4320" w:hanging="360"/>
      </w:pPr>
      <w:rPr>
        <w:rFonts w:ascii="Wingdings" w:hAnsi="Wingdings" w:hint="default"/>
      </w:rPr>
    </w:lvl>
    <w:lvl w:ilvl="6" w:tplc="62B2C470">
      <w:start w:val="1"/>
      <w:numFmt w:val="bullet"/>
      <w:lvlText w:val=""/>
      <w:lvlJc w:val="left"/>
      <w:pPr>
        <w:ind w:left="5040" w:hanging="360"/>
      </w:pPr>
      <w:rPr>
        <w:rFonts w:ascii="Symbol" w:hAnsi="Symbol" w:hint="default"/>
      </w:rPr>
    </w:lvl>
    <w:lvl w:ilvl="7" w:tplc="B1546532">
      <w:start w:val="1"/>
      <w:numFmt w:val="bullet"/>
      <w:lvlText w:val="o"/>
      <w:lvlJc w:val="left"/>
      <w:pPr>
        <w:ind w:left="5760" w:hanging="360"/>
      </w:pPr>
      <w:rPr>
        <w:rFonts w:ascii="Courier New" w:hAnsi="Courier New" w:hint="default"/>
      </w:rPr>
    </w:lvl>
    <w:lvl w:ilvl="8" w:tplc="B8FEA0D6">
      <w:start w:val="1"/>
      <w:numFmt w:val="bullet"/>
      <w:lvlText w:val=""/>
      <w:lvlJc w:val="left"/>
      <w:pPr>
        <w:ind w:left="6480" w:hanging="360"/>
      </w:pPr>
      <w:rPr>
        <w:rFonts w:ascii="Wingdings" w:hAnsi="Wingdings" w:hint="default"/>
      </w:rPr>
    </w:lvl>
  </w:abstractNum>
  <w:abstractNum w:abstractNumId="15" w15:restartNumberingAfterBreak="0">
    <w:nsid w:val="660983ED"/>
    <w:multiLevelType w:val="hybridMultilevel"/>
    <w:tmpl w:val="54D83840"/>
    <w:lvl w:ilvl="0" w:tplc="6B4822AA">
      <w:start w:val="1"/>
      <w:numFmt w:val="bullet"/>
      <w:lvlText w:val=""/>
      <w:lvlJc w:val="left"/>
      <w:pPr>
        <w:ind w:left="720" w:hanging="360"/>
      </w:pPr>
      <w:rPr>
        <w:rFonts w:ascii="Symbol" w:hAnsi="Symbol" w:hint="default"/>
      </w:rPr>
    </w:lvl>
    <w:lvl w:ilvl="1" w:tplc="5D46E400">
      <w:start w:val="1"/>
      <w:numFmt w:val="bullet"/>
      <w:lvlText w:val="o"/>
      <w:lvlJc w:val="left"/>
      <w:pPr>
        <w:ind w:left="1440" w:hanging="360"/>
      </w:pPr>
      <w:rPr>
        <w:rFonts w:ascii="Courier New" w:hAnsi="Courier New" w:hint="default"/>
      </w:rPr>
    </w:lvl>
    <w:lvl w:ilvl="2" w:tplc="539C1440">
      <w:start w:val="1"/>
      <w:numFmt w:val="bullet"/>
      <w:lvlText w:val=""/>
      <w:lvlJc w:val="left"/>
      <w:pPr>
        <w:ind w:left="2160" w:hanging="360"/>
      </w:pPr>
      <w:rPr>
        <w:rFonts w:ascii="Wingdings" w:hAnsi="Wingdings" w:hint="default"/>
      </w:rPr>
    </w:lvl>
    <w:lvl w:ilvl="3" w:tplc="436A91B4">
      <w:start w:val="1"/>
      <w:numFmt w:val="bullet"/>
      <w:lvlText w:val=""/>
      <w:lvlJc w:val="left"/>
      <w:pPr>
        <w:ind w:left="2880" w:hanging="360"/>
      </w:pPr>
      <w:rPr>
        <w:rFonts w:ascii="Symbol" w:hAnsi="Symbol" w:hint="default"/>
      </w:rPr>
    </w:lvl>
    <w:lvl w:ilvl="4" w:tplc="3FAC23B8">
      <w:start w:val="1"/>
      <w:numFmt w:val="bullet"/>
      <w:lvlText w:val="o"/>
      <w:lvlJc w:val="left"/>
      <w:pPr>
        <w:ind w:left="3600" w:hanging="360"/>
      </w:pPr>
      <w:rPr>
        <w:rFonts w:ascii="Courier New" w:hAnsi="Courier New" w:hint="default"/>
      </w:rPr>
    </w:lvl>
    <w:lvl w:ilvl="5" w:tplc="C868C68C">
      <w:start w:val="1"/>
      <w:numFmt w:val="bullet"/>
      <w:lvlText w:val=""/>
      <w:lvlJc w:val="left"/>
      <w:pPr>
        <w:ind w:left="4320" w:hanging="360"/>
      </w:pPr>
      <w:rPr>
        <w:rFonts w:ascii="Wingdings" w:hAnsi="Wingdings" w:hint="default"/>
      </w:rPr>
    </w:lvl>
    <w:lvl w:ilvl="6" w:tplc="8084C400">
      <w:start w:val="1"/>
      <w:numFmt w:val="bullet"/>
      <w:lvlText w:val=""/>
      <w:lvlJc w:val="left"/>
      <w:pPr>
        <w:ind w:left="5040" w:hanging="360"/>
      </w:pPr>
      <w:rPr>
        <w:rFonts w:ascii="Symbol" w:hAnsi="Symbol" w:hint="default"/>
      </w:rPr>
    </w:lvl>
    <w:lvl w:ilvl="7" w:tplc="D654F192">
      <w:start w:val="1"/>
      <w:numFmt w:val="bullet"/>
      <w:lvlText w:val="o"/>
      <w:lvlJc w:val="left"/>
      <w:pPr>
        <w:ind w:left="5760" w:hanging="360"/>
      </w:pPr>
      <w:rPr>
        <w:rFonts w:ascii="Courier New" w:hAnsi="Courier New" w:hint="default"/>
      </w:rPr>
    </w:lvl>
    <w:lvl w:ilvl="8" w:tplc="273A2532">
      <w:start w:val="1"/>
      <w:numFmt w:val="bullet"/>
      <w:lvlText w:val=""/>
      <w:lvlJc w:val="left"/>
      <w:pPr>
        <w:ind w:left="6480" w:hanging="360"/>
      </w:pPr>
      <w:rPr>
        <w:rFonts w:ascii="Wingdings" w:hAnsi="Wingdings" w:hint="default"/>
      </w:rPr>
    </w:lvl>
  </w:abstractNum>
  <w:abstractNum w:abstractNumId="16" w15:restartNumberingAfterBreak="0">
    <w:nsid w:val="66B68AD9"/>
    <w:multiLevelType w:val="hybridMultilevel"/>
    <w:tmpl w:val="D49850E2"/>
    <w:lvl w:ilvl="0" w:tplc="58507088">
      <w:start w:val="1"/>
      <w:numFmt w:val="bullet"/>
      <w:lvlText w:val=""/>
      <w:lvlJc w:val="left"/>
      <w:pPr>
        <w:ind w:left="720" w:hanging="360"/>
      </w:pPr>
      <w:rPr>
        <w:rFonts w:ascii="Symbol" w:hAnsi="Symbol" w:hint="default"/>
      </w:rPr>
    </w:lvl>
    <w:lvl w:ilvl="1" w:tplc="AA5C104A">
      <w:start w:val="1"/>
      <w:numFmt w:val="bullet"/>
      <w:lvlText w:val="o"/>
      <w:lvlJc w:val="left"/>
      <w:pPr>
        <w:ind w:left="1440" w:hanging="360"/>
      </w:pPr>
      <w:rPr>
        <w:rFonts w:ascii="Courier New" w:hAnsi="Courier New" w:hint="default"/>
      </w:rPr>
    </w:lvl>
    <w:lvl w:ilvl="2" w:tplc="2C1EC710">
      <w:start w:val="1"/>
      <w:numFmt w:val="bullet"/>
      <w:lvlText w:val=""/>
      <w:lvlJc w:val="left"/>
      <w:pPr>
        <w:ind w:left="2160" w:hanging="360"/>
      </w:pPr>
      <w:rPr>
        <w:rFonts w:ascii="Wingdings" w:hAnsi="Wingdings" w:hint="default"/>
      </w:rPr>
    </w:lvl>
    <w:lvl w:ilvl="3" w:tplc="32C06E6E">
      <w:start w:val="1"/>
      <w:numFmt w:val="bullet"/>
      <w:lvlText w:val=""/>
      <w:lvlJc w:val="left"/>
      <w:pPr>
        <w:ind w:left="2880" w:hanging="360"/>
      </w:pPr>
      <w:rPr>
        <w:rFonts w:ascii="Symbol" w:hAnsi="Symbol" w:hint="default"/>
      </w:rPr>
    </w:lvl>
    <w:lvl w:ilvl="4" w:tplc="D7846984">
      <w:start w:val="1"/>
      <w:numFmt w:val="bullet"/>
      <w:lvlText w:val="o"/>
      <w:lvlJc w:val="left"/>
      <w:pPr>
        <w:ind w:left="3600" w:hanging="360"/>
      </w:pPr>
      <w:rPr>
        <w:rFonts w:ascii="Courier New" w:hAnsi="Courier New" w:hint="default"/>
      </w:rPr>
    </w:lvl>
    <w:lvl w:ilvl="5" w:tplc="5B3A488A">
      <w:start w:val="1"/>
      <w:numFmt w:val="bullet"/>
      <w:lvlText w:val=""/>
      <w:lvlJc w:val="left"/>
      <w:pPr>
        <w:ind w:left="4320" w:hanging="360"/>
      </w:pPr>
      <w:rPr>
        <w:rFonts w:ascii="Wingdings" w:hAnsi="Wingdings" w:hint="default"/>
      </w:rPr>
    </w:lvl>
    <w:lvl w:ilvl="6" w:tplc="60E6AD76">
      <w:start w:val="1"/>
      <w:numFmt w:val="bullet"/>
      <w:lvlText w:val=""/>
      <w:lvlJc w:val="left"/>
      <w:pPr>
        <w:ind w:left="5040" w:hanging="360"/>
      </w:pPr>
      <w:rPr>
        <w:rFonts w:ascii="Symbol" w:hAnsi="Symbol" w:hint="default"/>
      </w:rPr>
    </w:lvl>
    <w:lvl w:ilvl="7" w:tplc="20A242A6">
      <w:start w:val="1"/>
      <w:numFmt w:val="bullet"/>
      <w:lvlText w:val="o"/>
      <w:lvlJc w:val="left"/>
      <w:pPr>
        <w:ind w:left="5760" w:hanging="360"/>
      </w:pPr>
      <w:rPr>
        <w:rFonts w:ascii="Courier New" w:hAnsi="Courier New" w:hint="default"/>
      </w:rPr>
    </w:lvl>
    <w:lvl w:ilvl="8" w:tplc="56FC5BEA">
      <w:start w:val="1"/>
      <w:numFmt w:val="bullet"/>
      <w:lvlText w:val=""/>
      <w:lvlJc w:val="left"/>
      <w:pPr>
        <w:ind w:left="6480" w:hanging="360"/>
      </w:pPr>
      <w:rPr>
        <w:rFonts w:ascii="Wingdings" w:hAnsi="Wingdings" w:hint="default"/>
      </w:rPr>
    </w:lvl>
  </w:abstractNum>
  <w:abstractNum w:abstractNumId="17" w15:restartNumberingAfterBreak="0">
    <w:nsid w:val="6833FA4E"/>
    <w:multiLevelType w:val="hybridMultilevel"/>
    <w:tmpl w:val="8DC41D82"/>
    <w:lvl w:ilvl="0" w:tplc="63E0FAE6">
      <w:start w:val="1"/>
      <w:numFmt w:val="bullet"/>
      <w:lvlText w:val=""/>
      <w:lvlJc w:val="left"/>
      <w:pPr>
        <w:ind w:left="720" w:hanging="360"/>
      </w:pPr>
      <w:rPr>
        <w:rFonts w:ascii="Symbol" w:hAnsi="Symbol" w:hint="default"/>
      </w:rPr>
    </w:lvl>
    <w:lvl w:ilvl="1" w:tplc="E244F776">
      <w:start w:val="1"/>
      <w:numFmt w:val="bullet"/>
      <w:lvlText w:val="o"/>
      <w:lvlJc w:val="left"/>
      <w:pPr>
        <w:ind w:left="1440" w:hanging="360"/>
      </w:pPr>
      <w:rPr>
        <w:rFonts w:ascii="Courier New" w:hAnsi="Courier New" w:hint="default"/>
      </w:rPr>
    </w:lvl>
    <w:lvl w:ilvl="2" w:tplc="F0FE061C">
      <w:start w:val="1"/>
      <w:numFmt w:val="bullet"/>
      <w:lvlText w:val=""/>
      <w:lvlJc w:val="left"/>
      <w:pPr>
        <w:ind w:left="2160" w:hanging="360"/>
      </w:pPr>
      <w:rPr>
        <w:rFonts w:ascii="Wingdings" w:hAnsi="Wingdings" w:hint="default"/>
      </w:rPr>
    </w:lvl>
    <w:lvl w:ilvl="3" w:tplc="9C96B1B0">
      <w:start w:val="1"/>
      <w:numFmt w:val="bullet"/>
      <w:lvlText w:val=""/>
      <w:lvlJc w:val="left"/>
      <w:pPr>
        <w:ind w:left="2880" w:hanging="360"/>
      </w:pPr>
      <w:rPr>
        <w:rFonts w:ascii="Symbol" w:hAnsi="Symbol" w:hint="default"/>
      </w:rPr>
    </w:lvl>
    <w:lvl w:ilvl="4" w:tplc="36FE2946">
      <w:start w:val="1"/>
      <w:numFmt w:val="bullet"/>
      <w:lvlText w:val="o"/>
      <w:lvlJc w:val="left"/>
      <w:pPr>
        <w:ind w:left="3600" w:hanging="360"/>
      </w:pPr>
      <w:rPr>
        <w:rFonts w:ascii="Courier New" w:hAnsi="Courier New" w:hint="default"/>
      </w:rPr>
    </w:lvl>
    <w:lvl w:ilvl="5" w:tplc="DCFAE732">
      <w:start w:val="1"/>
      <w:numFmt w:val="bullet"/>
      <w:lvlText w:val=""/>
      <w:lvlJc w:val="left"/>
      <w:pPr>
        <w:ind w:left="4320" w:hanging="360"/>
      </w:pPr>
      <w:rPr>
        <w:rFonts w:ascii="Wingdings" w:hAnsi="Wingdings" w:hint="default"/>
      </w:rPr>
    </w:lvl>
    <w:lvl w:ilvl="6" w:tplc="14CC306E">
      <w:start w:val="1"/>
      <w:numFmt w:val="bullet"/>
      <w:lvlText w:val=""/>
      <w:lvlJc w:val="left"/>
      <w:pPr>
        <w:ind w:left="5040" w:hanging="360"/>
      </w:pPr>
      <w:rPr>
        <w:rFonts w:ascii="Symbol" w:hAnsi="Symbol" w:hint="default"/>
      </w:rPr>
    </w:lvl>
    <w:lvl w:ilvl="7" w:tplc="55D4279C">
      <w:start w:val="1"/>
      <w:numFmt w:val="bullet"/>
      <w:lvlText w:val="o"/>
      <w:lvlJc w:val="left"/>
      <w:pPr>
        <w:ind w:left="5760" w:hanging="360"/>
      </w:pPr>
      <w:rPr>
        <w:rFonts w:ascii="Courier New" w:hAnsi="Courier New" w:hint="default"/>
      </w:rPr>
    </w:lvl>
    <w:lvl w:ilvl="8" w:tplc="DC34715C">
      <w:start w:val="1"/>
      <w:numFmt w:val="bullet"/>
      <w:lvlText w:val=""/>
      <w:lvlJc w:val="left"/>
      <w:pPr>
        <w:ind w:left="6480" w:hanging="360"/>
      </w:pPr>
      <w:rPr>
        <w:rFonts w:ascii="Wingdings" w:hAnsi="Wingdings" w:hint="default"/>
      </w:rPr>
    </w:lvl>
  </w:abstractNum>
  <w:abstractNum w:abstractNumId="18" w15:restartNumberingAfterBreak="0">
    <w:nsid w:val="6BEA1A2F"/>
    <w:multiLevelType w:val="hybridMultilevel"/>
    <w:tmpl w:val="2B42F1BE"/>
    <w:lvl w:ilvl="0" w:tplc="95E8775E">
      <w:start w:val="1"/>
      <w:numFmt w:val="bullet"/>
      <w:lvlText w:val=""/>
      <w:lvlJc w:val="left"/>
      <w:pPr>
        <w:ind w:left="720" w:hanging="360"/>
      </w:pPr>
      <w:rPr>
        <w:rFonts w:ascii="Symbol" w:hAnsi="Symbol" w:hint="default"/>
      </w:rPr>
    </w:lvl>
    <w:lvl w:ilvl="1" w:tplc="E9784C6A">
      <w:start w:val="1"/>
      <w:numFmt w:val="bullet"/>
      <w:lvlText w:val="o"/>
      <w:lvlJc w:val="left"/>
      <w:pPr>
        <w:ind w:left="1440" w:hanging="360"/>
      </w:pPr>
      <w:rPr>
        <w:rFonts w:ascii="Courier New" w:hAnsi="Courier New" w:hint="default"/>
      </w:rPr>
    </w:lvl>
    <w:lvl w:ilvl="2" w:tplc="D17E717E">
      <w:start w:val="1"/>
      <w:numFmt w:val="bullet"/>
      <w:lvlText w:val=""/>
      <w:lvlJc w:val="left"/>
      <w:pPr>
        <w:ind w:left="2160" w:hanging="360"/>
      </w:pPr>
      <w:rPr>
        <w:rFonts w:ascii="Wingdings" w:hAnsi="Wingdings" w:hint="default"/>
      </w:rPr>
    </w:lvl>
    <w:lvl w:ilvl="3" w:tplc="9166A1CE">
      <w:start w:val="1"/>
      <w:numFmt w:val="bullet"/>
      <w:lvlText w:val=""/>
      <w:lvlJc w:val="left"/>
      <w:pPr>
        <w:ind w:left="2880" w:hanging="360"/>
      </w:pPr>
      <w:rPr>
        <w:rFonts w:ascii="Symbol" w:hAnsi="Symbol" w:hint="default"/>
      </w:rPr>
    </w:lvl>
    <w:lvl w:ilvl="4" w:tplc="EB549BE2">
      <w:start w:val="1"/>
      <w:numFmt w:val="bullet"/>
      <w:lvlText w:val="o"/>
      <w:lvlJc w:val="left"/>
      <w:pPr>
        <w:ind w:left="3600" w:hanging="360"/>
      </w:pPr>
      <w:rPr>
        <w:rFonts w:ascii="Courier New" w:hAnsi="Courier New" w:hint="default"/>
      </w:rPr>
    </w:lvl>
    <w:lvl w:ilvl="5" w:tplc="AFD61168">
      <w:start w:val="1"/>
      <w:numFmt w:val="bullet"/>
      <w:lvlText w:val=""/>
      <w:lvlJc w:val="left"/>
      <w:pPr>
        <w:ind w:left="4320" w:hanging="360"/>
      </w:pPr>
      <w:rPr>
        <w:rFonts w:ascii="Wingdings" w:hAnsi="Wingdings" w:hint="default"/>
      </w:rPr>
    </w:lvl>
    <w:lvl w:ilvl="6" w:tplc="26B66580">
      <w:start w:val="1"/>
      <w:numFmt w:val="bullet"/>
      <w:lvlText w:val=""/>
      <w:lvlJc w:val="left"/>
      <w:pPr>
        <w:ind w:left="5040" w:hanging="360"/>
      </w:pPr>
      <w:rPr>
        <w:rFonts w:ascii="Symbol" w:hAnsi="Symbol" w:hint="default"/>
      </w:rPr>
    </w:lvl>
    <w:lvl w:ilvl="7" w:tplc="409CF136">
      <w:start w:val="1"/>
      <w:numFmt w:val="bullet"/>
      <w:lvlText w:val="o"/>
      <w:lvlJc w:val="left"/>
      <w:pPr>
        <w:ind w:left="5760" w:hanging="360"/>
      </w:pPr>
      <w:rPr>
        <w:rFonts w:ascii="Courier New" w:hAnsi="Courier New" w:hint="default"/>
      </w:rPr>
    </w:lvl>
    <w:lvl w:ilvl="8" w:tplc="472E34D0">
      <w:start w:val="1"/>
      <w:numFmt w:val="bullet"/>
      <w:lvlText w:val=""/>
      <w:lvlJc w:val="left"/>
      <w:pPr>
        <w:ind w:left="6480" w:hanging="360"/>
      </w:pPr>
      <w:rPr>
        <w:rFonts w:ascii="Wingdings" w:hAnsi="Wingdings" w:hint="default"/>
      </w:rPr>
    </w:lvl>
  </w:abstractNum>
  <w:abstractNum w:abstractNumId="19" w15:restartNumberingAfterBreak="0">
    <w:nsid w:val="6EFB2847"/>
    <w:multiLevelType w:val="hybridMultilevel"/>
    <w:tmpl w:val="731EB446"/>
    <w:lvl w:ilvl="0" w:tplc="8786AC06">
      <w:start w:val="1"/>
      <w:numFmt w:val="decimal"/>
      <w:lvlText w:val="(%1)"/>
      <w:lvlJc w:val="left"/>
      <w:pPr>
        <w:ind w:left="720" w:hanging="360"/>
      </w:pPr>
    </w:lvl>
    <w:lvl w:ilvl="1" w:tplc="E7486D8C">
      <w:start w:val="1"/>
      <w:numFmt w:val="lowerLetter"/>
      <w:lvlText w:val="%2."/>
      <w:lvlJc w:val="left"/>
      <w:pPr>
        <w:ind w:left="1440" w:hanging="360"/>
      </w:pPr>
    </w:lvl>
    <w:lvl w:ilvl="2" w:tplc="FD2416E8">
      <w:start w:val="1"/>
      <w:numFmt w:val="lowerRoman"/>
      <w:lvlText w:val="%3."/>
      <w:lvlJc w:val="right"/>
      <w:pPr>
        <w:ind w:left="2160" w:hanging="180"/>
      </w:pPr>
    </w:lvl>
    <w:lvl w:ilvl="3" w:tplc="10B0A162">
      <w:start w:val="1"/>
      <w:numFmt w:val="decimal"/>
      <w:lvlText w:val="%4."/>
      <w:lvlJc w:val="left"/>
      <w:pPr>
        <w:ind w:left="2880" w:hanging="360"/>
      </w:pPr>
    </w:lvl>
    <w:lvl w:ilvl="4" w:tplc="BF407CB8">
      <w:start w:val="1"/>
      <w:numFmt w:val="lowerLetter"/>
      <w:lvlText w:val="%5."/>
      <w:lvlJc w:val="left"/>
      <w:pPr>
        <w:ind w:left="3600" w:hanging="360"/>
      </w:pPr>
    </w:lvl>
    <w:lvl w:ilvl="5" w:tplc="22009BA0">
      <w:start w:val="1"/>
      <w:numFmt w:val="lowerRoman"/>
      <w:lvlText w:val="%6."/>
      <w:lvlJc w:val="right"/>
      <w:pPr>
        <w:ind w:left="4320" w:hanging="180"/>
      </w:pPr>
    </w:lvl>
    <w:lvl w:ilvl="6" w:tplc="C1567BF6">
      <w:start w:val="1"/>
      <w:numFmt w:val="decimal"/>
      <w:lvlText w:val="%7."/>
      <w:lvlJc w:val="left"/>
      <w:pPr>
        <w:ind w:left="5040" w:hanging="360"/>
      </w:pPr>
    </w:lvl>
    <w:lvl w:ilvl="7" w:tplc="2FBCD058">
      <w:start w:val="1"/>
      <w:numFmt w:val="lowerLetter"/>
      <w:lvlText w:val="%8."/>
      <w:lvlJc w:val="left"/>
      <w:pPr>
        <w:ind w:left="5760" w:hanging="360"/>
      </w:pPr>
    </w:lvl>
    <w:lvl w:ilvl="8" w:tplc="5986FAFE">
      <w:start w:val="1"/>
      <w:numFmt w:val="lowerRoman"/>
      <w:lvlText w:val="%9."/>
      <w:lvlJc w:val="right"/>
      <w:pPr>
        <w:ind w:left="6480" w:hanging="180"/>
      </w:pPr>
    </w:lvl>
  </w:abstractNum>
  <w:abstractNum w:abstractNumId="20" w15:restartNumberingAfterBreak="0">
    <w:nsid w:val="6F49153A"/>
    <w:multiLevelType w:val="hybridMultilevel"/>
    <w:tmpl w:val="08145692"/>
    <w:lvl w:ilvl="0" w:tplc="8A44C68E">
      <w:start w:val="1"/>
      <w:numFmt w:val="bullet"/>
      <w:lvlText w:val=""/>
      <w:lvlJc w:val="left"/>
      <w:pPr>
        <w:ind w:left="720" w:hanging="360"/>
      </w:pPr>
      <w:rPr>
        <w:rFonts w:ascii="Symbol" w:hAnsi="Symbol" w:hint="default"/>
      </w:rPr>
    </w:lvl>
    <w:lvl w:ilvl="1" w:tplc="EE8622CC">
      <w:start w:val="1"/>
      <w:numFmt w:val="bullet"/>
      <w:lvlText w:val="o"/>
      <w:lvlJc w:val="left"/>
      <w:pPr>
        <w:ind w:left="1440" w:hanging="360"/>
      </w:pPr>
      <w:rPr>
        <w:rFonts w:ascii="Courier New" w:hAnsi="Courier New" w:hint="default"/>
      </w:rPr>
    </w:lvl>
    <w:lvl w:ilvl="2" w:tplc="2ED293C2">
      <w:start w:val="1"/>
      <w:numFmt w:val="bullet"/>
      <w:lvlText w:val=""/>
      <w:lvlJc w:val="left"/>
      <w:pPr>
        <w:ind w:left="2160" w:hanging="360"/>
      </w:pPr>
      <w:rPr>
        <w:rFonts w:ascii="Wingdings" w:hAnsi="Wingdings" w:hint="default"/>
      </w:rPr>
    </w:lvl>
    <w:lvl w:ilvl="3" w:tplc="129A1178">
      <w:start w:val="1"/>
      <w:numFmt w:val="bullet"/>
      <w:lvlText w:val=""/>
      <w:lvlJc w:val="left"/>
      <w:pPr>
        <w:ind w:left="2880" w:hanging="360"/>
      </w:pPr>
      <w:rPr>
        <w:rFonts w:ascii="Symbol" w:hAnsi="Symbol" w:hint="default"/>
      </w:rPr>
    </w:lvl>
    <w:lvl w:ilvl="4" w:tplc="8452B658">
      <w:start w:val="1"/>
      <w:numFmt w:val="bullet"/>
      <w:lvlText w:val="o"/>
      <w:lvlJc w:val="left"/>
      <w:pPr>
        <w:ind w:left="3600" w:hanging="360"/>
      </w:pPr>
      <w:rPr>
        <w:rFonts w:ascii="Courier New" w:hAnsi="Courier New" w:hint="default"/>
      </w:rPr>
    </w:lvl>
    <w:lvl w:ilvl="5" w:tplc="BBA438EA">
      <w:start w:val="1"/>
      <w:numFmt w:val="bullet"/>
      <w:lvlText w:val=""/>
      <w:lvlJc w:val="left"/>
      <w:pPr>
        <w:ind w:left="4320" w:hanging="360"/>
      </w:pPr>
      <w:rPr>
        <w:rFonts w:ascii="Wingdings" w:hAnsi="Wingdings" w:hint="default"/>
      </w:rPr>
    </w:lvl>
    <w:lvl w:ilvl="6" w:tplc="C36CBD82">
      <w:start w:val="1"/>
      <w:numFmt w:val="bullet"/>
      <w:lvlText w:val=""/>
      <w:lvlJc w:val="left"/>
      <w:pPr>
        <w:ind w:left="5040" w:hanging="360"/>
      </w:pPr>
      <w:rPr>
        <w:rFonts w:ascii="Symbol" w:hAnsi="Symbol" w:hint="default"/>
      </w:rPr>
    </w:lvl>
    <w:lvl w:ilvl="7" w:tplc="963AA14C">
      <w:start w:val="1"/>
      <w:numFmt w:val="bullet"/>
      <w:lvlText w:val="o"/>
      <w:lvlJc w:val="left"/>
      <w:pPr>
        <w:ind w:left="5760" w:hanging="360"/>
      </w:pPr>
      <w:rPr>
        <w:rFonts w:ascii="Courier New" w:hAnsi="Courier New" w:hint="default"/>
      </w:rPr>
    </w:lvl>
    <w:lvl w:ilvl="8" w:tplc="7AC2E58A">
      <w:start w:val="1"/>
      <w:numFmt w:val="bullet"/>
      <w:lvlText w:val=""/>
      <w:lvlJc w:val="left"/>
      <w:pPr>
        <w:ind w:left="6480" w:hanging="360"/>
      </w:pPr>
      <w:rPr>
        <w:rFonts w:ascii="Wingdings" w:hAnsi="Wingdings" w:hint="default"/>
      </w:rPr>
    </w:lvl>
  </w:abstractNum>
  <w:abstractNum w:abstractNumId="21" w15:restartNumberingAfterBreak="0">
    <w:nsid w:val="72EE59F3"/>
    <w:multiLevelType w:val="hybridMultilevel"/>
    <w:tmpl w:val="B1800F5A"/>
    <w:lvl w:ilvl="0" w:tplc="34EA744A">
      <w:start w:val="1"/>
      <w:numFmt w:val="bullet"/>
      <w:lvlText w:val=""/>
      <w:lvlJc w:val="left"/>
      <w:pPr>
        <w:ind w:left="720" w:hanging="360"/>
      </w:pPr>
      <w:rPr>
        <w:rFonts w:ascii="Symbol" w:hAnsi="Symbol" w:hint="default"/>
      </w:rPr>
    </w:lvl>
    <w:lvl w:ilvl="1" w:tplc="B73AAF9E">
      <w:start w:val="1"/>
      <w:numFmt w:val="bullet"/>
      <w:lvlText w:val="o"/>
      <w:lvlJc w:val="left"/>
      <w:pPr>
        <w:ind w:left="1440" w:hanging="360"/>
      </w:pPr>
      <w:rPr>
        <w:rFonts w:ascii="Courier New" w:hAnsi="Courier New" w:hint="default"/>
      </w:rPr>
    </w:lvl>
    <w:lvl w:ilvl="2" w:tplc="BF20C968">
      <w:start w:val="1"/>
      <w:numFmt w:val="bullet"/>
      <w:lvlText w:val=""/>
      <w:lvlJc w:val="left"/>
      <w:pPr>
        <w:ind w:left="2160" w:hanging="360"/>
      </w:pPr>
      <w:rPr>
        <w:rFonts w:ascii="Wingdings" w:hAnsi="Wingdings" w:hint="default"/>
      </w:rPr>
    </w:lvl>
    <w:lvl w:ilvl="3" w:tplc="56CAE582">
      <w:start w:val="1"/>
      <w:numFmt w:val="bullet"/>
      <w:lvlText w:val=""/>
      <w:lvlJc w:val="left"/>
      <w:pPr>
        <w:ind w:left="2880" w:hanging="360"/>
      </w:pPr>
      <w:rPr>
        <w:rFonts w:ascii="Symbol" w:hAnsi="Symbol" w:hint="default"/>
      </w:rPr>
    </w:lvl>
    <w:lvl w:ilvl="4" w:tplc="33DCD540">
      <w:start w:val="1"/>
      <w:numFmt w:val="bullet"/>
      <w:lvlText w:val="o"/>
      <w:lvlJc w:val="left"/>
      <w:pPr>
        <w:ind w:left="3600" w:hanging="360"/>
      </w:pPr>
      <w:rPr>
        <w:rFonts w:ascii="Courier New" w:hAnsi="Courier New" w:hint="default"/>
      </w:rPr>
    </w:lvl>
    <w:lvl w:ilvl="5" w:tplc="86A61C50">
      <w:start w:val="1"/>
      <w:numFmt w:val="bullet"/>
      <w:lvlText w:val=""/>
      <w:lvlJc w:val="left"/>
      <w:pPr>
        <w:ind w:left="4320" w:hanging="360"/>
      </w:pPr>
      <w:rPr>
        <w:rFonts w:ascii="Wingdings" w:hAnsi="Wingdings" w:hint="default"/>
      </w:rPr>
    </w:lvl>
    <w:lvl w:ilvl="6" w:tplc="770A4AFC">
      <w:start w:val="1"/>
      <w:numFmt w:val="bullet"/>
      <w:lvlText w:val=""/>
      <w:lvlJc w:val="left"/>
      <w:pPr>
        <w:ind w:left="5040" w:hanging="360"/>
      </w:pPr>
      <w:rPr>
        <w:rFonts w:ascii="Symbol" w:hAnsi="Symbol" w:hint="default"/>
      </w:rPr>
    </w:lvl>
    <w:lvl w:ilvl="7" w:tplc="07105BB8">
      <w:start w:val="1"/>
      <w:numFmt w:val="bullet"/>
      <w:lvlText w:val="o"/>
      <w:lvlJc w:val="left"/>
      <w:pPr>
        <w:ind w:left="5760" w:hanging="360"/>
      </w:pPr>
      <w:rPr>
        <w:rFonts w:ascii="Courier New" w:hAnsi="Courier New" w:hint="default"/>
      </w:rPr>
    </w:lvl>
    <w:lvl w:ilvl="8" w:tplc="FA006F3C">
      <w:start w:val="1"/>
      <w:numFmt w:val="bullet"/>
      <w:lvlText w:val=""/>
      <w:lvlJc w:val="left"/>
      <w:pPr>
        <w:ind w:left="6480" w:hanging="360"/>
      </w:pPr>
      <w:rPr>
        <w:rFonts w:ascii="Wingdings" w:hAnsi="Wingdings" w:hint="default"/>
      </w:rPr>
    </w:lvl>
  </w:abstractNum>
  <w:abstractNum w:abstractNumId="22" w15:restartNumberingAfterBreak="0">
    <w:nsid w:val="77086528"/>
    <w:multiLevelType w:val="hybridMultilevel"/>
    <w:tmpl w:val="6C126FCA"/>
    <w:lvl w:ilvl="0" w:tplc="F3EE949C">
      <w:start w:val="1"/>
      <w:numFmt w:val="bullet"/>
      <w:lvlText w:val=""/>
      <w:lvlJc w:val="left"/>
      <w:pPr>
        <w:ind w:left="720" w:hanging="360"/>
      </w:pPr>
      <w:rPr>
        <w:rFonts w:ascii="Symbol" w:hAnsi="Symbol" w:hint="default"/>
      </w:rPr>
    </w:lvl>
    <w:lvl w:ilvl="1" w:tplc="AE545278">
      <w:start w:val="1"/>
      <w:numFmt w:val="bullet"/>
      <w:lvlText w:val="o"/>
      <w:lvlJc w:val="left"/>
      <w:pPr>
        <w:ind w:left="1440" w:hanging="360"/>
      </w:pPr>
      <w:rPr>
        <w:rFonts w:ascii="Courier New" w:hAnsi="Courier New" w:hint="default"/>
      </w:rPr>
    </w:lvl>
    <w:lvl w:ilvl="2" w:tplc="25A0F92C">
      <w:start w:val="1"/>
      <w:numFmt w:val="bullet"/>
      <w:lvlText w:val=""/>
      <w:lvlJc w:val="left"/>
      <w:pPr>
        <w:ind w:left="2160" w:hanging="360"/>
      </w:pPr>
      <w:rPr>
        <w:rFonts w:ascii="Wingdings" w:hAnsi="Wingdings" w:hint="default"/>
      </w:rPr>
    </w:lvl>
    <w:lvl w:ilvl="3" w:tplc="A07C6676">
      <w:start w:val="1"/>
      <w:numFmt w:val="bullet"/>
      <w:lvlText w:val=""/>
      <w:lvlJc w:val="left"/>
      <w:pPr>
        <w:ind w:left="2880" w:hanging="360"/>
      </w:pPr>
      <w:rPr>
        <w:rFonts w:ascii="Symbol" w:hAnsi="Symbol" w:hint="default"/>
      </w:rPr>
    </w:lvl>
    <w:lvl w:ilvl="4" w:tplc="57DCEE16">
      <w:start w:val="1"/>
      <w:numFmt w:val="bullet"/>
      <w:lvlText w:val="o"/>
      <w:lvlJc w:val="left"/>
      <w:pPr>
        <w:ind w:left="3600" w:hanging="360"/>
      </w:pPr>
      <w:rPr>
        <w:rFonts w:ascii="Courier New" w:hAnsi="Courier New" w:hint="default"/>
      </w:rPr>
    </w:lvl>
    <w:lvl w:ilvl="5" w:tplc="505C364C">
      <w:start w:val="1"/>
      <w:numFmt w:val="bullet"/>
      <w:lvlText w:val=""/>
      <w:lvlJc w:val="left"/>
      <w:pPr>
        <w:ind w:left="4320" w:hanging="360"/>
      </w:pPr>
      <w:rPr>
        <w:rFonts w:ascii="Wingdings" w:hAnsi="Wingdings" w:hint="default"/>
      </w:rPr>
    </w:lvl>
    <w:lvl w:ilvl="6" w:tplc="89E0E4AC">
      <w:start w:val="1"/>
      <w:numFmt w:val="bullet"/>
      <w:lvlText w:val=""/>
      <w:lvlJc w:val="left"/>
      <w:pPr>
        <w:ind w:left="5040" w:hanging="360"/>
      </w:pPr>
      <w:rPr>
        <w:rFonts w:ascii="Symbol" w:hAnsi="Symbol" w:hint="default"/>
      </w:rPr>
    </w:lvl>
    <w:lvl w:ilvl="7" w:tplc="40AC691A">
      <w:start w:val="1"/>
      <w:numFmt w:val="bullet"/>
      <w:lvlText w:val="o"/>
      <w:lvlJc w:val="left"/>
      <w:pPr>
        <w:ind w:left="5760" w:hanging="360"/>
      </w:pPr>
      <w:rPr>
        <w:rFonts w:ascii="Courier New" w:hAnsi="Courier New" w:hint="default"/>
      </w:rPr>
    </w:lvl>
    <w:lvl w:ilvl="8" w:tplc="71008096">
      <w:start w:val="1"/>
      <w:numFmt w:val="bullet"/>
      <w:lvlText w:val=""/>
      <w:lvlJc w:val="left"/>
      <w:pPr>
        <w:ind w:left="6480" w:hanging="360"/>
      </w:pPr>
      <w:rPr>
        <w:rFonts w:ascii="Wingdings" w:hAnsi="Wingdings" w:hint="default"/>
      </w:rPr>
    </w:lvl>
  </w:abstractNum>
  <w:num w:numId="1" w16cid:durableId="1400637955">
    <w:abstractNumId w:val="3"/>
  </w:num>
  <w:num w:numId="2" w16cid:durableId="1382249758">
    <w:abstractNumId w:val="7"/>
  </w:num>
  <w:num w:numId="3" w16cid:durableId="1534617304">
    <w:abstractNumId w:val="19"/>
  </w:num>
  <w:num w:numId="4" w16cid:durableId="1948195725">
    <w:abstractNumId w:val="18"/>
  </w:num>
  <w:num w:numId="5" w16cid:durableId="1635476726">
    <w:abstractNumId w:val="9"/>
  </w:num>
  <w:num w:numId="6" w16cid:durableId="1835799064">
    <w:abstractNumId w:val="15"/>
  </w:num>
  <w:num w:numId="7" w16cid:durableId="984049526">
    <w:abstractNumId w:val="17"/>
  </w:num>
  <w:num w:numId="8" w16cid:durableId="266350492">
    <w:abstractNumId w:val="8"/>
  </w:num>
  <w:num w:numId="9" w16cid:durableId="1426339732">
    <w:abstractNumId w:val="22"/>
  </w:num>
  <w:num w:numId="10" w16cid:durableId="982150603">
    <w:abstractNumId w:val="14"/>
  </w:num>
  <w:num w:numId="11" w16cid:durableId="1947082926">
    <w:abstractNumId w:val="0"/>
  </w:num>
  <w:num w:numId="12" w16cid:durableId="1075130282">
    <w:abstractNumId w:val="11"/>
  </w:num>
  <w:num w:numId="13" w16cid:durableId="1109200438">
    <w:abstractNumId w:val="1"/>
  </w:num>
  <w:num w:numId="14" w16cid:durableId="1298680444">
    <w:abstractNumId w:val="2"/>
  </w:num>
  <w:num w:numId="15" w16cid:durableId="1863468998">
    <w:abstractNumId w:val="13"/>
  </w:num>
  <w:num w:numId="16" w16cid:durableId="1132746441">
    <w:abstractNumId w:val="4"/>
  </w:num>
  <w:num w:numId="17" w16cid:durableId="1124890068">
    <w:abstractNumId w:val="20"/>
  </w:num>
  <w:num w:numId="18" w16cid:durableId="1774742363">
    <w:abstractNumId w:val="16"/>
  </w:num>
  <w:num w:numId="19" w16cid:durableId="951129395">
    <w:abstractNumId w:val="21"/>
  </w:num>
  <w:num w:numId="20" w16cid:durableId="1553034171">
    <w:abstractNumId w:val="12"/>
  </w:num>
  <w:num w:numId="21" w16cid:durableId="612321546">
    <w:abstractNumId w:val="10"/>
  </w:num>
  <w:num w:numId="22" w16cid:durableId="1619217161">
    <w:abstractNumId w:val="6"/>
  </w:num>
  <w:num w:numId="23" w16cid:durableId="1740252012">
    <w:abstractNumId w:val="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41EDF9"/>
    <w:rsid w:val="00001E70"/>
    <w:rsid w:val="00002C33"/>
    <w:rsid w:val="0000323C"/>
    <w:rsid w:val="0000411D"/>
    <w:rsid w:val="00006EE1"/>
    <w:rsid w:val="00007373"/>
    <w:rsid w:val="0000792A"/>
    <w:rsid w:val="00007E41"/>
    <w:rsid w:val="000085B1"/>
    <w:rsid w:val="000101B2"/>
    <w:rsid w:val="00010C99"/>
    <w:rsid w:val="000116C3"/>
    <w:rsid w:val="00011DF5"/>
    <w:rsid w:val="0001341A"/>
    <w:rsid w:val="00013587"/>
    <w:rsid w:val="00014A90"/>
    <w:rsid w:val="0001632E"/>
    <w:rsid w:val="0001683C"/>
    <w:rsid w:val="00016959"/>
    <w:rsid w:val="00017535"/>
    <w:rsid w:val="0002250D"/>
    <w:rsid w:val="00022A4A"/>
    <w:rsid w:val="00022E08"/>
    <w:rsid w:val="000238C8"/>
    <w:rsid w:val="0002497F"/>
    <w:rsid w:val="00024B92"/>
    <w:rsid w:val="000257D4"/>
    <w:rsid w:val="00025BCD"/>
    <w:rsid w:val="000265ED"/>
    <w:rsid w:val="0002663B"/>
    <w:rsid w:val="0002744B"/>
    <w:rsid w:val="000276F9"/>
    <w:rsid w:val="0002793B"/>
    <w:rsid w:val="00032361"/>
    <w:rsid w:val="00033030"/>
    <w:rsid w:val="000330CE"/>
    <w:rsid w:val="00033244"/>
    <w:rsid w:val="00034694"/>
    <w:rsid w:val="00034CFC"/>
    <w:rsid w:val="00034FB5"/>
    <w:rsid w:val="00035E52"/>
    <w:rsid w:val="000362D9"/>
    <w:rsid w:val="00037354"/>
    <w:rsid w:val="00037B75"/>
    <w:rsid w:val="000402B0"/>
    <w:rsid w:val="0004099A"/>
    <w:rsid w:val="000414AE"/>
    <w:rsid w:val="00041683"/>
    <w:rsid w:val="0004189E"/>
    <w:rsid w:val="000430A7"/>
    <w:rsid w:val="00043E45"/>
    <w:rsid w:val="000443D3"/>
    <w:rsid w:val="00044808"/>
    <w:rsid w:val="00044AE6"/>
    <w:rsid w:val="00044CDC"/>
    <w:rsid w:val="00045420"/>
    <w:rsid w:val="00046983"/>
    <w:rsid w:val="000473D7"/>
    <w:rsid w:val="0004799F"/>
    <w:rsid w:val="000523B5"/>
    <w:rsid w:val="00053279"/>
    <w:rsid w:val="000532BC"/>
    <w:rsid w:val="000534C0"/>
    <w:rsid w:val="00053A53"/>
    <w:rsid w:val="000546ED"/>
    <w:rsid w:val="000548AC"/>
    <w:rsid w:val="00055240"/>
    <w:rsid w:val="000560B2"/>
    <w:rsid w:val="00056555"/>
    <w:rsid w:val="00057206"/>
    <w:rsid w:val="000579CB"/>
    <w:rsid w:val="00060289"/>
    <w:rsid w:val="0006040F"/>
    <w:rsid w:val="00060ACF"/>
    <w:rsid w:val="00061341"/>
    <w:rsid w:val="00063B10"/>
    <w:rsid w:val="00064106"/>
    <w:rsid w:val="00065179"/>
    <w:rsid w:val="000657DA"/>
    <w:rsid w:val="00066984"/>
    <w:rsid w:val="000677D0"/>
    <w:rsid w:val="00070E67"/>
    <w:rsid w:val="00070F63"/>
    <w:rsid w:val="00071AA6"/>
    <w:rsid w:val="000729E5"/>
    <w:rsid w:val="00073C2E"/>
    <w:rsid w:val="0007451F"/>
    <w:rsid w:val="00074C2B"/>
    <w:rsid w:val="00075164"/>
    <w:rsid w:val="000751AA"/>
    <w:rsid w:val="00075EC1"/>
    <w:rsid w:val="00075FE8"/>
    <w:rsid w:val="00076E45"/>
    <w:rsid w:val="00076F69"/>
    <w:rsid w:val="00077405"/>
    <w:rsid w:val="00080DCF"/>
    <w:rsid w:val="00080E99"/>
    <w:rsid w:val="0008168B"/>
    <w:rsid w:val="00082EFA"/>
    <w:rsid w:val="00083CA5"/>
    <w:rsid w:val="00084163"/>
    <w:rsid w:val="000845C0"/>
    <w:rsid w:val="00084679"/>
    <w:rsid w:val="00084934"/>
    <w:rsid w:val="00084B57"/>
    <w:rsid w:val="00085C5E"/>
    <w:rsid w:val="00086A08"/>
    <w:rsid w:val="00086DBC"/>
    <w:rsid w:val="00090393"/>
    <w:rsid w:val="00090834"/>
    <w:rsid w:val="000914FE"/>
    <w:rsid w:val="00091A07"/>
    <w:rsid w:val="00092296"/>
    <w:rsid w:val="00092582"/>
    <w:rsid w:val="00092F58"/>
    <w:rsid w:val="000932A1"/>
    <w:rsid w:val="00095117"/>
    <w:rsid w:val="00097C2E"/>
    <w:rsid w:val="00097E2C"/>
    <w:rsid w:val="000A00B8"/>
    <w:rsid w:val="000A0C78"/>
    <w:rsid w:val="000A2112"/>
    <w:rsid w:val="000A2119"/>
    <w:rsid w:val="000A2666"/>
    <w:rsid w:val="000A2DFB"/>
    <w:rsid w:val="000A3EB6"/>
    <w:rsid w:val="000A477B"/>
    <w:rsid w:val="000A48AC"/>
    <w:rsid w:val="000A4E55"/>
    <w:rsid w:val="000A562D"/>
    <w:rsid w:val="000A5856"/>
    <w:rsid w:val="000A7922"/>
    <w:rsid w:val="000AEC1B"/>
    <w:rsid w:val="000B0C86"/>
    <w:rsid w:val="000B10B8"/>
    <w:rsid w:val="000B2392"/>
    <w:rsid w:val="000B24C2"/>
    <w:rsid w:val="000B3CB0"/>
    <w:rsid w:val="000B4159"/>
    <w:rsid w:val="000B4549"/>
    <w:rsid w:val="000B4C87"/>
    <w:rsid w:val="000B570E"/>
    <w:rsid w:val="000B5726"/>
    <w:rsid w:val="000B58EE"/>
    <w:rsid w:val="000B5D4B"/>
    <w:rsid w:val="000B61A9"/>
    <w:rsid w:val="000B6CAE"/>
    <w:rsid w:val="000B6F4B"/>
    <w:rsid w:val="000B79A2"/>
    <w:rsid w:val="000C0E3C"/>
    <w:rsid w:val="000C1067"/>
    <w:rsid w:val="000C254D"/>
    <w:rsid w:val="000C32C0"/>
    <w:rsid w:val="000C4517"/>
    <w:rsid w:val="000C46FA"/>
    <w:rsid w:val="000C49B8"/>
    <w:rsid w:val="000C6091"/>
    <w:rsid w:val="000C63FD"/>
    <w:rsid w:val="000C6D06"/>
    <w:rsid w:val="000C7D37"/>
    <w:rsid w:val="000D0880"/>
    <w:rsid w:val="000D2674"/>
    <w:rsid w:val="000D30A9"/>
    <w:rsid w:val="000D379E"/>
    <w:rsid w:val="000D3FF2"/>
    <w:rsid w:val="000D46E1"/>
    <w:rsid w:val="000D4CFA"/>
    <w:rsid w:val="000D5C8F"/>
    <w:rsid w:val="000D6A1B"/>
    <w:rsid w:val="000D7ACD"/>
    <w:rsid w:val="000D7B7B"/>
    <w:rsid w:val="000D7C06"/>
    <w:rsid w:val="000E012A"/>
    <w:rsid w:val="000E03CA"/>
    <w:rsid w:val="000E0540"/>
    <w:rsid w:val="000E0AFE"/>
    <w:rsid w:val="000E27CE"/>
    <w:rsid w:val="000E2A09"/>
    <w:rsid w:val="000E3B39"/>
    <w:rsid w:val="000E4E86"/>
    <w:rsid w:val="000E5439"/>
    <w:rsid w:val="000E586D"/>
    <w:rsid w:val="000E5E40"/>
    <w:rsid w:val="000E5FF1"/>
    <w:rsid w:val="000E7CAB"/>
    <w:rsid w:val="000F16BC"/>
    <w:rsid w:val="000F1847"/>
    <w:rsid w:val="000F231C"/>
    <w:rsid w:val="000F28E7"/>
    <w:rsid w:val="000F3C0E"/>
    <w:rsid w:val="000F40A3"/>
    <w:rsid w:val="000F45AC"/>
    <w:rsid w:val="000F666C"/>
    <w:rsid w:val="000F681B"/>
    <w:rsid w:val="000F7257"/>
    <w:rsid w:val="000F7B9B"/>
    <w:rsid w:val="001001E2"/>
    <w:rsid w:val="0010023D"/>
    <w:rsid w:val="0010080D"/>
    <w:rsid w:val="00103552"/>
    <w:rsid w:val="00103B2E"/>
    <w:rsid w:val="00103BDE"/>
    <w:rsid w:val="00106DFD"/>
    <w:rsid w:val="0010787F"/>
    <w:rsid w:val="00107DEF"/>
    <w:rsid w:val="0011053F"/>
    <w:rsid w:val="00110570"/>
    <w:rsid w:val="001106F7"/>
    <w:rsid w:val="00110BA9"/>
    <w:rsid w:val="00110F04"/>
    <w:rsid w:val="00110FE0"/>
    <w:rsid w:val="001110C2"/>
    <w:rsid w:val="00111746"/>
    <w:rsid w:val="0011318A"/>
    <w:rsid w:val="00113805"/>
    <w:rsid w:val="00113A77"/>
    <w:rsid w:val="00113DE5"/>
    <w:rsid w:val="00114002"/>
    <w:rsid w:val="00114EAA"/>
    <w:rsid w:val="00115805"/>
    <w:rsid w:val="00115F92"/>
    <w:rsid w:val="001161B7"/>
    <w:rsid w:val="00116523"/>
    <w:rsid w:val="0012053C"/>
    <w:rsid w:val="0012138A"/>
    <w:rsid w:val="00122D76"/>
    <w:rsid w:val="001235B4"/>
    <w:rsid w:val="00123BDA"/>
    <w:rsid w:val="001243D6"/>
    <w:rsid w:val="001249D8"/>
    <w:rsid w:val="0012568C"/>
    <w:rsid w:val="0012688A"/>
    <w:rsid w:val="00127863"/>
    <w:rsid w:val="00127D59"/>
    <w:rsid w:val="00127EF7"/>
    <w:rsid w:val="00130A52"/>
    <w:rsid w:val="00130D72"/>
    <w:rsid w:val="00132698"/>
    <w:rsid w:val="00134B47"/>
    <w:rsid w:val="00135D6F"/>
    <w:rsid w:val="00136938"/>
    <w:rsid w:val="00137F84"/>
    <w:rsid w:val="00140ACE"/>
    <w:rsid w:val="00141E51"/>
    <w:rsid w:val="0014290B"/>
    <w:rsid w:val="00142EC1"/>
    <w:rsid w:val="00144288"/>
    <w:rsid w:val="00145B2F"/>
    <w:rsid w:val="00146B65"/>
    <w:rsid w:val="0014712E"/>
    <w:rsid w:val="001500CC"/>
    <w:rsid w:val="00150844"/>
    <w:rsid w:val="00150F06"/>
    <w:rsid w:val="0015121E"/>
    <w:rsid w:val="001530E6"/>
    <w:rsid w:val="001536D2"/>
    <w:rsid w:val="00153B1D"/>
    <w:rsid w:val="00154425"/>
    <w:rsid w:val="001558D0"/>
    <w:rsid w:val="00155F9B"/>
    <w:rsid w:val="00156B05"/>
    <w:rsid w:val="00157737"/>
    <w:rsid w:val="00157E0B"/>
    <w:rsid w:val="00160291"/>
    <w:rsid w:val="001606CD"/>
    <w:rsid w:val="00162B27"/>
    <w:rsid w:val="00162FE1"/>
    <w:rsid w:val="00163D93"/>
    <w:rsid w:val="00165E0E"/>
    <w:rsid w:val="00165E37"/>
    <w:rsid w:val="00166631"/>
    <w:rsid w:val="00166B66"/>
    <w:rsid w:val="00167037"/>
    <w:rsid w:val="0017103D"/>
    <w:rsid w:val="001729BB"/>
    <w:rsid w:val="001735DF"/>
    <w:rsid w:val="00173800"/>
    <w:rsid w:val="00173B64"/>
    <w:rsid w:val="00174641"/>
    <w:rsid w:val="00174AD9"/>
    <w:rsid w:val="00174AF2"/>
    <w:rsid w:val="00174C8D"/>
    <w:rsid w:val="00175FFD"/>
    <w:rsid w:val="0017631B"/>
    <w:rsid w:val="0017748D"/>
    <w:rsid w:val="001777CA"/>
    <w:rsid w:val="00177B14"/>
    <w:rsid w:val="00180292"/>
    <w:rsid w:val="00180980"/>
    <w:rsid w:val="001814E4"/>
    <w:rsid w:val="00181A0C"/>
    <w:rsid w:val="00181A26"/>
    <w:rsid w:val="001822BB"/>
    <w:rsid w:val="001832D5"/>
    <w:rsid w:val="00183EDD"/>
    <w:rsid w:val="00184D18"/>
    <w:rsid w:val="00185897"/>
    <w:rsid w:val="00186325"/>
    <w:rsid w:val="0018706C"/>
    <w:rsid w:val="00187BED"/>
    <w:rsid w:val="00190FF6"/>
    <w:rsid w:val="001921C2"/>
    <w:rsid w:val="0019275E"/>
    <w:rsid w:val="00193D20"/>
    <w:rsid w:val="00193D3F"/>
    <w:rsid w:val="00193DAD"/>
    <w:rsid w:val="00193F40"/>
    <w:rsid w:val="001948A6"/>
    <w:rsid w:val="0019504A"/>
    <w:rsid w:val="0019549D"/>
    <w:rsid w:val="001955FE"/>
    <w:rsid w:val="00195E7F"/>
    <w:rsid w:val="00196AB9"/>
    <w:rsid w:val="00197B1F"/>
    <w:rsid w:val="001A0153"/>
    <w:rsid w:val="001A17EB"/>
    <w:rsid w:val="001A2B46"/>
    <w:rsid w:val="001A2BB9"/>
    <w:rsid w:val="001A2CA8"/>
    <w:rsid w:val="001A34CF"/>
    <w:rsid w:val="001A38F8"/>
    <w:rsid w:val="001A572F"/>
    <w:rsid w:val="001A73FC"/>
    <w:rsid w:val="001A796B"/>
    <w:rsid w:val="001A7C10"/>
    <w:rsid w:val="001A7E86"/>
    <w:rsid w:val="001B0028"/>
    <w:rsid w:val="001B02AE"/>
    <w:rsid w:val="001B04E8"/>
    <w:rsid w:val="001B08A1"/>
    <w:rsid w:val="001B0F22"/>
    <w:rsid w:val="001B119C"/>
    <w:rsid w:val="001B142E"/>
    <w:rsid w:val="001B173B"/>
    <w:rsid w:val="001B1909"/>
    <w:rsid w:val="001B1C79"/>
    <w:rsid w:val="001B1E87"/>
    <w:rsid w:val="001B2C19"/>
    <w:rsid w:val="001B4A3F"/>
    <w:rsid w:val="001B606A"/>
    <w:rsid w:val="001B672B"/>
    <w:rsid w:val="001B76E4"/>
    <w:rsid w:val="001B7D69"/>
    <w:rsid w:val="001C0DCD"/>
    <w:rsid w:val="001C1070"/>
    <w:rsid w:val="001C1740"/>
    <w:rsid w:val="001C270E"/>
    <w:rsid w:val="001C4832"/>
    <w:rsid w:val="001C543D"/>
    <w:rsid w:val="001C5806"/>
    <w:rsid w:val="001C7989"/>
    <w:rsid w:val="001D015B"/>
    <w:rsid w:val="001D1470"/>
    <w:rsid w:val="001D1A1A"/>
    <w:rsid w:val="001D1DB6"/>
    <w:rsid w:val="001D2646"/>
    <w:rsid w:val="001D2878"/>
    <w:rsid w:val="001D30FB"/>
    <w:rsid w:val="001D3208"/>
    <w:rsid w:val="001D34B3"/>
    <w:rsid w:val="001D360D"/>
    <w:rsid w:val="001D43C9"/>
    <w:rsid w:val="001D4622"/>
    <w:rsid w:val="001D4E97"/>
    <w:rsid w:val="001D5205"/>
    <w:rsid w:val="001D795A"/>
    <w:rsid w:val="001E0985"/>
    <w:rsid w:val="001E1E07"/>
    <w:rsid w:val="001E247C"/>
    <w:rsid w:val="001E26BD"/>
    <w:rsid w:val="001E35B3"/>
    <w:rsid w:val="001E47F3"/>
    <w:rsid w:val="001E4CD7"/>
    <w:rsid w:val="001E7C9C"/>
    <w:rsid w:val="001F05AF"/>
    <w:rsid w:val="001F0CBB"/>
    <w:rsid w:val="001F1007"/>
    <w:rsid w:val="001F307E"/>
    <w:rsid w:val="001F31D4"/>
    <w:rsid w:val="001F37A7"/>
    <w:rsid w:val="001F4DD0"/>
    <w:rsid w:val="001F4F2C"/>
    <w:rsid w:val="001F5FF7"/>
    <w:rsid w:val="001F60EF"/>
    <w:rsid w:val="001F617B"/>
    <w:rsid w:val="001F66C6"/>
    <w:rsid w:val="001F6F9D"/>
    <w:rsid w:val="001F7D3E"/>
    <w:rsid w:val="0020039D"/>
    <w:rsid w:val="002004AB"/>
    <w:rsid w:val="00200687"/>
    <w:rsid w:val="00200D4E"/>
    <w:rsid w:val="00201122"/>
    <w:rsid w:val="002017E3"/>
    <w:rsid w:val="00202019"/>
    <w:rsid w:val="002022DE"/>
    <w:rsid w:val="002023EE"/>
    <w:rsid w:val="00202D6B"/>
    <w:rsid w:val="00203002"/>
    <w:rsid w:val="00203359"/>
    <w:rsid w:val="00203736"/>
    <w:rsid w:val="0020380E"/>
    <w:rsid w:val="002041C0"/>
    <w:rsid w:val="0020420E"/>
    <w:rsid w:val="00205035"/>
    <w:rsid w:val="002067E2"/>
    <w:rsid w:val="0020689B"/>
    <w:rsid w:val="00209025"/>
    <w:rsid w:val="0021082B"/>
    <w:rsid w:val="00212C01"/>
    <w:rsid w:val="00213ADF"/>
    <w:rsid w:val="00214768"/>
    <w:rsid w:val="002149DF"/>
    <w:rsid w:val="002157D2"/>
    <w:rsid w:val="00215871"/>
    <w:rsid w:val="00215D79"/>
    <w:rsid w:val="00216AAE"/>
    <w:rsid w:val="0021749A"/>
    <w:rsid w:val="00217678"/>
    <w:rsid w:val="0022024C"/>
    <w:rsid w:val="00220FBB"/>
    <w:rsid w:val="00223FB1"/>
    <w:rsid w:val="00224902"/>
    <w:rsid w:val="00224EC3"/>
    <w:rsid w:val="002261B8"/>
    <w:rsid w:val="00226612"/>
    <w:rsid w:val="002266FB"/>
    <w:rsid w:val="0022677D"/>
    <w:rsid w:val="002304D6"/>
    <w:rsid w:val="00230660"/>
    <w:rsid w:val="00231566"/>
    <w:rsid w:val="00231975"/>
    <w:rsid w:val="00231AD3"/>
    <w:rsid w:val="00232A4D"/>
    <w:rsid w:val="00233038"/>
    <w:rsid w:val="00233443"/>
    <w:rsid w:val="00233830"/>
    <w:rsid w:val="00233CAC"/>
    <w:rsid w:val="002346AC"/>
    <w:rsid w:val="00234C76"/>
    <w:rsid w:val="0023509C"/>
    <w:rsid w:val="002358E6"/>
    <w:rsid w:val="0023664C"/>
    <w:rsid w:val="0023727E"/>
    <w:rsid w:val="0024049B"/>
    <w:rsid w:val="00242EEB"/>
    <w:rsid w:val="00243F37"/>
    <w:rsid w:val="0024443E"/>
    <w:rsid w:val="002459A2"/>
    <w:rsid w:val="002473A5"/>
    <w:rsid w:val="00247768"/>
    <w:rsid w:val="00250650"/>
    <w:rsid w:val="00251312"/>
    <w:rsid w:val="002520F7"/>
    <w:rsid w:val="00252102"/>
    <w:rsid w:val="0025404C"/>
    <w:rsid w:val="0025415E"/>
    <w:rsid w:val="002549D7"/>
    <w:rsid w:val="00255D9F"/>
    <w:rsid w:val="0025655D"/>
    <w:rsid w:val="002566C5"/>
    <w:rsid w:val="00257962"/>
    <w:rsid w:val="00257AFF"/>
    <w:rsid w:val="002604D0"/>
    <w:rsid w:val="00260537"/>
    <w:rsid w:val="00261B91"/>
    <w:rsid w:val="00261ECF"/>
    <w:rsid w:val="002628F5"/>
    <w:rsid w:val="00262C1F"/>
    <w:rsid w:val="00263151"/>
    <w:rsid w:val="002631CA"/>
    <w:rsid w:val="00264D10"/>
    <w:rsid w:val="002661FB"/>
    <w:rsid w:val="002674C1"/>
    <w:rsid w:val="00270BA5"/>
    <w:rsid w:val="00270E63"/>
    <w:rsid w:val="002713A1"/>
    <w:rsid w:val="00271FE7"/>
    <w:rsid w:val="002723FA"/>
    <w:rsid w:val="00272505"/>
    <w:rsid w:val="00272BF0"/>
    <w:rsid w:val="00273344"/>
    <w:rsid w:val="00274B1A"/>
    <w:rsid w:val="00274DEA"/>
    <w:rsid w:val="002767A1"/>
    <w:rsid w:val="00276AA7"/>
    <w:rsid w:val="00277C6E"/>
    <w:rsid w:val="00281A74"/>
    <w:rsid w:val="00281C2C"/>
    <w:rsid w:val="002822B0"/>
    <w:rsid w:val="002824DF"/>
    <w:rsid w:val="00282E63"/>
    <w:rsid w:val="0028320D"/>
    <w:rsid w:val="00283509"/>
    <w:rsid w:val="00284B63"/>
    <w:rsid w:val="00287AD7"/>
    <w:rsid w:val="00292E51"/>
    <w:rsid w:val="00292F5B"/>
    <w:rsid w:val="00293644"/>
    <w:rsid w:val="00293ABB"/>
    <w:rsid w:val="00293ED5"/>
    <w:rsid w:val="002947CD"/>
    <w:rsid w:val="00297D47"/>
    <w:rsid w:val="00297DFF"/>
    <w:rsid w:val="002A04E1"/>
    <w:rsid w:val="002A0DCB"/>
    <w:rsid w:val="002A13A2"/>
    <w:rsid w:val="002A2ED8"/>
    <w:rsid w:val="002A2F02"/>
    <w:rsid w:val="002A313D"/>
    <w:rsid w:val="002A3C4D"/>
    <w:rsid w:val="002A4B9A"/>
    <w:rsid w:val="002A7EC7"/>
    <w:rsid w:val="002B14BE"/>
    <w:rsid w:val="002B1DFD"/>
    <w:rsid w:val="002B20AC"/>
    <w:rsid w:val="002B2BCC"/>
    <w:rsid w:val="002B336C"/>
    <w:rsid w:val="002B39A4"/>
    <w:rsid w:val="002B4C94"/>
    <w:rsid w:val="002B4D4F"/>
    <w:rsid w:val="002B6248"/>
    <w:rsid w:val="002B737D"/>
    <w:rsid w:val="002C1679"/>
    <w:rsid w:val="002C2113"/>
    <w:rsid w:val="002C2A57"/>
    <w:rsid w:val="002C2ECA"/>
    <w:rsid w:val="002C3373"/>
    <w:rsid w:val="002C3B0D"/>
    <w:rsid w:val="002C63EB"/>
    <w:rsid w:val="002C7251"/>
    <w:rsid w:val="002C7386"/>
    <w:rsid w:val="002CBD65"/>
    <w:rsid w:val="002D0C97"/>
    <w:rsid w:val="002D0FB4"/>
    <w:rsid w:val="002D1128"/>
    <w:rsid w:val="002D29F3"/>
    <w:rsid w:val="002D2A7A"/>
    <w:rsid w:val="002D2FC9"/>
    <w:rsid w:val="002D4F63"/>
    <w:rsid w:val="002D7A38"/>
    <w:rsid w:val="002E0683"/>
    <w:rsid w:val="002E1457"/>
    <w:rsid w:val="002E2483"/>
    <w:rsid w:val="002E2844"/>
    <w:rsid w:val="002E2EF5"/>
    <w:rsid w:val="002E3BA0"/>
    <w:rsid w:val="002E3D13"/>
    <w:rsid w:val="002E50EF"/>
    <w:rsid w:val="002E62CC"/>
    <w:rsid w:val="002E680C"/>
    <w:rsid w:val="002E6952"/>
    <w:rsid w:val="002E6FED"/>
    <w:rsid w:val="002E7DAA"/>
    <w:rsid w:val="002F135A"/>
    <w:rsid w:val="002F2EBC"/>
    <w:rsid w:val="002F31DE"/>
    <w:rsid w:val="002F3531"/>
    <w:rsid w:val="002F4D59"/>
    <w:rsid w:val="002F64F5"/>
    <w:rsid w:val="002F6F15"/>
    <w:rsid w:val="00300052"/>
    <w:rsid w:val="00300B24"/>
    <w:rsid w:val="00300FF6"/>
    <w:rsid w:val="00304F06"/>
    <w:rsid w:val="00307EF0"/>
    <w:rsid w:val="003109C2"/>
    <w:rsid w:val="00311960"/>
    <w:rsid w:val="00311A73"/>
    <w:rsid w:val="00314310"/>
    <w:rsid w:val="003159B9"/>
    <w:rsid w:val="00315C6F"/>
    <w:rsid w:val="003161AE"/>
    <w:rsid w:val="00320060"/>
    <w:rsid w:val="00320AD2"/>
    <w:rsid w:val="00322700"/>
    <w:rsid w:val="00322BEC"/>
    <w:rsid w:val="00323541"/>
    <w:rsid w:val="00323C1B"/>
    <w:rsid w:val="003244FF"/>
    <w:rsid w:val="00325B6A"/>
    <w:rsid w:val="0032671E"/>
    <w:rsid w:val="00326DDE"/>
    <w:rsid w:val="0032710F"/>
    <w:rsid w:val="00327622"/>
    <w:rsid w:val="003312F5"/>
    <w:rsid w:val="0033147C"/>
    <w:rsid w:val="003321A0"/>
    <w:rsid w:val="0033296C"/>
    <w:rsid w:val="00332F01"/>
    <w:rsid w:val="00332F63"/>
    <w:rsid w:val="003332FE"/>
    <w:rsid w:val="00333FAD"/>
    <w:rsid w:val="0033519D"/>
    <w:rsid w:val="00335BC3"/>
    <w:rsid w:val="00335DC0"/>
    <w:rsid w:val="003370F3"/>
    <w:rsid w:val="00337805"/>
    <w:rsid w:val="0033796C"/>
    <w:rsid w:val="0033799A"/>
    <w:rsid w:val="00337C34"/>
    <w:rsid w:val="00340920"/>
    <w:rsid w:val="00340AC7"/>
    <w:rsid w:val="00342A3C"/>
    <w:rsid w:val="00343A59"/>
    <w:rsid w:val="00343EDC"/>
    <w:rsid w:val="00345438"/>
    <w:rsid w:val="00345CDC"/>
    <w:rsid w:val="003473CD"/>
    <w:rsid w:val="00347BA4"/>
    <w:rsid w:val="00347EB3"/>
    <w:rsid w:val="00347FBF"/>
    <w:rsid w:val="0035084B"/>
    <w:rsid w:val="003512AE"/>
    <w:rsid w:val="00352EEB"/>
    <w:rsid w:val="003531FF"/>
    <w:rsid w:val="00354D1D"/>
    <w:rsid w:val="00356686"/>
    <w:rsid w:val="0035669E"/>
    <w:rsid w:val="00356F3D"/>
    <w:rsid w:val="00357C1B"/>
    <w:rsid w:val="00360268"/>
    <w:rsid w:val="00360F59"/>
    <w:rsid w:val="00360FBC"/>
    <w:rsid w:val="00361173"/>
    <w:rsid w:val="00361E2D"/>
    <w:rsid w:val="003626E8"/>
    <w:rsid w:val="00362930"/>
    <w:rsid w:val="00362C13"/>
    <w:rsid w:val="003631CA"/>
    <w:rsid w:val="003652ED"/>
    <w:rsid w:val="003658A1"/>
    <w:rsid w:val="003667A9"/>
    <w:rsid w:val="00367667"/>
    <w:rsid w:val="003701B7"/>
    <w:rsid w:val="00371663"/>
    <w:rsid w:val="003717E6"/>
    <w:rsid w:val="00371970"/>
    <w:rsid w:val="003730C7"/>
    <w:rsid w:val="00373664"/>
    <w:rsid w:val="00374BFF"/>
    <w:rsid w:val="00375582"/>
    <w:rsid w:val="003764B8"/>
    <w:rsid w:val="003767ED"/>
    <w:rsid w:val="00376A2B"/>
    <w:rsid w:val="00376F02"/>
    <w:rsid w:val="00380404"/>
    <w:rsid w:val="003809BD"/>
    <w:rsid w:val="00380EC4"/>
    <w:rsid w:val="00381478"/>
    <w:rsid w:val="0038148A"/>
    <w:rsid w:val="00382C1B"/>
    <w:rsid w:val="00384E8A"/>
    <w:rsid w:val="003864FD"/>
    <w:rsid w:val="00387F50"/>
    <w:rsid w:val="00390198"/>
    <w:rsid w:val="003904DC"/>
    <w:rsid w:val="00391340"/>
    <w:rsid w:val="003925E2"/>
    <w:rsid w:val="00392654"/>
    <w:rsid w:val="00392F9E"/>
    <w:rsid w:val="00393066"/>
    <w:rsid w:val="00393253"/>
    <w:rsid w:val="0039366F"/>
    <w:rsid w:val="00395B46"/>
    <w:rsid w:val="0039615B"/>
    <w:rsid w:val="003977C4"/>
    <w:rsid w:val="00397E53"/>
    <w:rsid w:val="003A34E5"/>
    <w:rsid w:val="003A3AFB"/>
    <w:rsid w:val="003A55B3"/>
    <w:rsid w:val="003A5D6D"/>
    <w:rsid w:val="003A6726"/>
    <w:rsid w:val="003B0CBC"/>
    <w:rsid w:val="003B22EE"/>
    <w:rsid w:val="003B2929"/>
    <w:rsid w:val="003B4178"/>
    <w:rsid w:val="003B5201"/>
    <w:rsid w:val="003B5657"/>
    <w:rsid w:val="003B6982"/>
    <w:rsid w:val="003B7D97"/>
    <w:rsid w:val="003C0B32"/>
    <w:rsid w:val="003C1428"/>
    <w:rsid w:val="003C1504"/>
    <w:rsid w:val="003C1674"/>
    <w:rsid w:val="003C19C1"/>
    <w:rsid w:val="003C327A"/>
    <w:rsid w:val="003C36A0"/>
    <w:rsid w:val="003C4B75"/>
    <w:rsid w:val="003C4CC8"/>
    <w:rsid w:val="003C4E49"/>
    <w:rsid w:val="003C5766"/>
    <w:rsid w:val="003C5F04"/>
    <w:rsid w:val="003C7CCF"/>
    <w:rsid w:val="003D0286"/>
    <w:rsid w:val="003D03C9"/>
    <w:rsid w:val="003D18BA"/>
    <w:rsid w:val="003D1B24"/>
    <w:rsid w:val="003D1B4A"/>
    <w:rsid w:val="003D1FFC"/>
    <w:rsid w:val="003D3CB5"/>
    <w:rsid w:val="003D4439"/>
    <w:rsid w:val="003D4556"/>
    <w:rsid w:val="003D54BC"/>
    <w:rsid w:val="003D5F55"/>
    <w:rsid w:val="003D69A3"/>
    <w:rsid w:val="003D7157"/>
    <w:rsid w:val="003D77A1"/>
    <w:rsid w:val="003D7BE2"/>
    <w:rsid w:val="003D7CCF"/>
    <w:rsid w:val="003D7EC2"/>
    <w:rsid w:val="003E24B9"/>
    <w:rsid w:val="003E25FE"/>
    <w:rsid w:val="003E2DD3"/>
    <w:rsid w:val="003E2EE6"/>
    <w:rsid w:val="003E404D"/>
    <w:rsid w:val="003E4E1D"/>
    <w:rsid w:val="003E6185"/>
    <w:rsid w:val="003E6747"/>
    <w:rsid w:val="003E6BE7"/>
    <w:rsid w:val="003EE127"/>
    <w:rsid w:val="003F09A8"/>
    <w:rsid w:val="003F0A53"/>
    <w:rsid w:val="003F0A65"/>
    <w:rsid w:val="003F18D1"/>
    <w:rsid w:val="003F1AA1"/>
    <w:rsid w:val="003F269D"/>
    <w:rsid w:val="003F4D47"/>
    <w:rsid w:val="003F5864"/>
    <w:rsid w:val="003F5C16"/>
    <w:rsid w:val="003F67AA"/>
    <w:rsid w:val="003F73A8"/>
    <w:rsid w:val="003F7414"/>
    <w:rsid w:val="003F7E98"/>
    <w:rsid w:val="00400100"/>
    <w:rsid w:val="004006FB"/>
    <w:rsid w:val="00400B8E"/>
    <w:rsid w:val="0040129C"/>
    <w:rsid w:val="00402250"/>
    <w:rsid w:val="00402EE1"/>
    <w:rsid w:val="004032FF"/>
    <w:rsid w:val="00403306"/>
    <w:rsid w:val="00403340"/>
    <w:rsid w:val="004034BD"/>
    <w:rsid w:val="00404732"/>
    <w:rsid w:val="00405EB4"/>
    <w:rsid w:val="00406637"/>
    <w:rsid w:val="0040697C"/>
    <w:rsid w:val="00407754"/>
    <w:rsid w:val="00407B83"/>
    <w:rsid w:val="00407E31"/>
    <w:rsid w:val="0041135C"/>
    <w:rsid w:val="00411EFD"/>
    <w:rsid w:val="00412D7D"/>
    <w:rsid w:val="00414074"/>
    <w:rsid w:val="00414E1E"/>
    <w:rsid w:val="00414EA6"/>
    <w:rsid w:val="004155CA"/>
    <w:rsid w:val="0041594B"/>
    <w:rsid w:val="00416614"/>
    <w:rsid w:val="00416A92"/>
    <w:rsid w:val="00417A10"/>
    <w:rsid w:val="00417F93"/>
    <w:rsid w:val="004208BD"/>
    <w:rsid w:val="00420BD4"/>
    <w:rsid w:val="00421465"/>
    <w:rsid w:val="0042206B"/>
    <w:rsid w:val="00422296"/>
    <w:rsid w:val="004249A5"/>
    <w:rsid w:val="00425153"/>
    <w:rsid w:val="00426AB1"/>
    <w:rsid w:val="0042717E"/>
    <w:rsid w:val="0042744B"/>
    <w:rsid w:val="004313D8"/>
    <w:rsid w:val="004319F0"/>
    <w:rsid w:val="00431ED2"/>
    <w:rsid w:val="00433923"/>
    <w:rsid w:val="0043392E"/>
    <w:rsid w:val="00433DF7"/>
    <w:rsid w:val="0043404C"/>
    <w:rsid w:val="00434DDE"/>
    <w:rsid w:val="00435FD0"/>
    <w:rsid w:val="004368BB"/>
    <w:rsid w:val="00436A54"/>
    <w:rsid w:val="00437646"/>
    <w:rsid w:val="00440735"/>
    <w:rsid w:val="00442424"/>
    <w:rsid w:val="00442506"/>
    <w:rsid w:val="004438F4"/>
    <w:rsid w:val="004439FE"/>
    <w:rsid w:val="00443F00"/>
    <w:rsid w:val="004444B5"/>
    <w:rsid w:val="00444657"/>
    <w:rsid w:val="00444F4F"/>
    <w:rsid w:val="004451BE"/>
    <w:rsid w:val="004453EA"/>
    <w:rsid w:val="00445BE6"/>
    <w:rsid w:val="00445DED"/>
    <w:rsid w:val="00445F83"/>
    <w:rsid w:val="00446968"/>
    <w:rsid w:val="00447605"/>
    <w:rsid w:val="00447E0E"/>
    <w:rsid w:val="00447F07"/>
    <w:rsid w:val="00450A13"/>
    <w:rsid w:val="00451458"/>
    <w:rsid w:val="00452110"/>
    <w:rsid w:val="00452C21"/>
    <w:rsid w:val="0045313C"/>
    <w:rsid w:val="00453348"/>
    <w:rsid w:val="004536BB"/>
    <w:rsid w:val="00453C57"/>
    <w:rsid w:val="00454E61"/>
    <w:rsid w:val="00455F2D"/>
    <w:rsid w:val="0045719B"/>
    <w:rsid w:val="0045762C"/>
    <w:rsid w:val="00457663"/>
    <w:rsid w:val="00457723"/>
    <w:rsid w:val="004608A1"/>
    <w:rsid w:val="00461203"/>
    <w:rsid w:val="00461220"/>
    <w:rsid w:val="004613D7"/>
    <w:rsid w:val="004629B1"/>
    <w:rsid w:val="0046376B"/>
    <w:rsid w:val="00463EEB"/>
    <w:rsid w:val="00464DA5"/>
    <w:rsid w:val="00465210"/>
    <w:rsid w:val="004667ED"/>
    <w:rsid w:val="0046770B"/>
    <w:rsid w:val="0047145C"/>
    <w:rsid w:val="004719FE"/>
    <w:rsid w:val="00472828"/>
    <w:rsid w:val="00473AE5"/>
    <w:rsid w:val="0047471C"/>
    <w:rsid w:val="00474FAB"/>
    <w:rsid w:val="0047572B"/>
    <w:rsid w:val="00475C27"/>
    <w:rsid w:val="00476D82"/>
    <w:rsid w:val="0047715D"/>
    <w:rsid w:val="004773D3"/>
    <w:rsid w:val="00480496"/>
    <w:rsid w:val="00480E04"/>
    <w:rsid w:val="0048198F"/>
    <w:rsid w:val="00482D18"/>
    <w:rsid w:val="004838E5"/>
    <w:rsid w:val="0048397C"/>
    <w:rsid w:val="00483BEF"/>
    <w:rsid w:val="00484624"/>
    <w:rsid w:val="0048470E"/>
    <w:rsid w:val="00486AA7"/>
    <w:rsid w:val="00487477"/>
    <w:rsid w:val="0048790B"/>
    <w:rsid w:val="00490B4D"/>
    <w:rsid w:val="00492233"/>
    <w:rsid w:val="00492524"/>
    <w:rsid w:val="00492C2C"/>
    <w:rsid w:val="0049308F"/>
    <w:rsid w:val="0049354B"/>
    <w:rsid w:val="004953E7"/>
    <w:rsid w:val="00496372"/>
    <w:rsid w:val="0049716A"/>
    <w:rsid w:val="0049748B"/>
    <w:rsid w:val="004A0103"/>
    <w:rsid w:val="004A0546"/>
    <w:rsid w:val="004A0A9E"/>
    <w:rsid w:val="004A1432"/>
    <w:rsid w:val="004A1750"/>
    <w:rsid w:val="004A37A6"/>
    <w:rsid w:val="004A3BF6"/>
    <w:rsid w:val="004A3D17"/>
    <w:rsid w:val="004A45EC"/>
    <w:rsid w:val="004A4771"/>
    <w:rsid w:val="004A534F"/>
    <w:rsid w:val="004A5F62"/>
    <w:rsid w:val="004A7348"/>
    <w:rsid w:val="004B05C7"/>
    <w:rsid w:val="004B12F7"/>
    <w:rsid w:val="004B1E1E"/>
    <w:rsid w:val="004B1E32"/>
    <w:rsid w:val="004B4325"/>
    <w:rsid w:val="004B5F83"/>
    <w:rsid w:val="004B61A8"/>
    <w:rsid w:val="004B61AD"/>
    <w:rsid w:val="004B63CC"/>
    <w:rsid w:val="004B7B75"/>
    <w:rsid w:val="004C0C88"/>
    <w:rsid w:val="004C1B43"/>
    <w:rsid w:val="004C277B"/>
    <w:rsid w:val="004C5298"/>
    <w:rsid w:val="004C70E2"/>
    <w:rsid w:val="004C7169"/>
    <w:rsid w:val="004C7996"/>
    <w:rsid w:val="004D0664"/>
    <w:rsid w:val="004D16F8"/>
    <w:rsid w:val="004D298D"/>
    <w:rsid w:val="004E022E"/>
    <w:rsid w:val="004E0309"/>
    <w:rsid w:val="004E0422"/>
    <w:rsid w:val="004E120C"/>
    <w:rsid w:val="004E221F"/>
    <w:rsid w:val="004E2F09"/>
    <w:rsid w:val="004E3929"/>
    <w:rsid w:val="004E4A07"/>
    <w:rsid w:val="004E5CD6"/>
    <w:rsid w:val="004E5E0C"/>
    <w:rsid w:val="004E65EF"/>
    <w:rsid w:val="004E7C49"/>
    <w:rsid w:val="004F01F4"/>
    <w:rsid w:val="004F026C"/>
    <w:rsid w:val="004F0F52"/>
    <w:rsid w:val="004F3AD8"/>
    <w:rsid w:val="004F433C"/>
    <w:rsid w:val="004F520D"/>
    <w:rsid w:val="004F57FB"/>
    <w:rsid w:val="004F5A28"/>
    <w:rsid w:val="004F5A69"/>
    <w:rsid w:val="004F5D9B"/>
    <w:rsid w:val="004F6481"/>
    <w:rsid w:val="004F65D6"/>
    <w:rsid w:val="004F6A15"/>
    <w:rsid w:val="004F72C0"/>
    <w:rsid w:val="004F7324"/>
    <w:rsid w:val="004F7593"/>
    <w:rsid w:val="005001C6"/>
    <w:rsid w:val="00500DB3"/>
    <w:rsid w:val="00502742"/>
    <w:rsid w:val="00503358"/>
    <w:rsid w:val="005042D0"/>
    <w:rsid w:val="00505663"/>
    <w:rsid w:val="00505BD6"/>
    <w:rsid w:val="00506A41"/>
    <w:rsid w:val="00512533"/>
    <w:rsid w:val="0051267D"/>
    <w:rsid w:val="00512997"/>
    <w:rsid w:val="0051332E"/>
    <w:rsid w:val="00514081"/>
    <w:rsid w:val="00515EA6"/>
    <w:rsid w:val="00516521"/>
    <w:rsid w:val="00517FE8"/>
    <w:rsid w:val="005210E3"/>
    <w:rsid w:val="00522722"/>
    <w:rsid w:val="005232DA"/>
    <w:rsid w:val="00523DB5"/>
    <w:rsid w:val="0052427C"/>
    <w:rsid w:val="00524D33"/>
    <w:rsid w:val="00524DE1"/>
    <w:rsid w:val="00525225"/>
    <w:rsid w:val="0052675F"/>
    <w:rsid w:val="00527169"/>
    <w:rsid w:val="0053061A"/>
    <w:rsid w:val="00530D0C"/>
    <w:rsid w:val="00531055"/>
    <w:rsid w:val="0053137E"/>
    <w:rsid w:val="00533A56"/>
    <w:rsid w:val="00533D3E"/>
    <w:rsid w:val="0053444F"/>
    <w:rsid w:val="005347FF"/>
    <w:rsid w:val="00534B25"/>
    <w:rsid w:val="00534D3F"/>
    <w:rsid w:val="0053591E"/>
    <w:rsid w:val="0053681C"/>
    <w:rsid w:val="005376C6"/>
    <w:rsid w:val="00537B94"/>
    <w:rsid w:val="00538B77"/>
    <w:rsid w:val="005403EA"/>
    <w:rsid w:val="0054121D"/>
    <w:rsid w:val="00541DA0"/>
    <w:rsid w:val="00541DF9"/>
    <w:rsid w:val="005433BD"/>
    <w:rsid w:val="00543CD8"/>
    <w:rsid w:val="00544774"/>
    <w:rsid w:val="0054505F"/>
    <w:rsid w:val="0054531E"/>
    <w:rsid w:val="00546B18"/>
    <w:rsid w:val="00547FFD"/>
    <w:rsid w:val="00552955"/>
    <w:rsid w:val="00552ACF"/>
    <w:rsid w:val="00552BCF"/>
    <w:rsid w:val="00552CDA"/>
    <w:rsid w:val="00553ED5"/>
    <w:rsid w:val="0055491C"/>
    <w:rsid w:val="00554CD6"/>
    <w:rsid w:val="00554EA5"/>
    <w:rsid w:val="0055506D"/>
    <w:rsid w:val="00555229"/>
    <w:rsid w:val="0055561B"/>
    <w:rsid w:val="005568D4"/>
    <w:rsid w:val="00556EDA"/>
    <w:rsid w:val="0055750A"/>
    <w:rsid w:val="00560783"/>
    <w:rsid w:val="005611E3"/>
    <w:rsid w:val="0056186D"/>
    <w:rsid w:val="005628AE"/>
    <w:rsid w:val="0056295D"/>
    <w:rsid w:val="00563DBD"/>
    <w:rsid w:val="00563DCB"/>
    <w:rsid w:val="005646F2"/>
    <w:rsid w:val="005647A8"/>
    <w:rsid w:val="005655DB"/>
    <w:rsid w:val="00565727"/>
    <w:rsid w:val="0056581E"/>
    <w:rsid w:val="005658DA"/>
    <w:rsid w:val="005673F3"/>
    <w:rsid w:val="00570DE3"/>
    <w:rsid w:val="00571BCC"/>
    <w:rsid w:val="00571E02"/>
    <w:rsid w:val="00572739"/>
    <w:rsid w:val="00572A9A"/>
    <w:rsid w:val="005732EE"/>
    <w:rsid w:val="00574563"/>
    <w:rsid w:val="00574C3F"/>
    <w:rsid w:val="00574E1D"/>
    <w:rsid w:val="00575C5C"/>
    <w:rsid w:val="00575C9D"/>
    <w:rsid w:val="00576F45"/>
    <w:rsid w:val="00577B2B"/>
    <w:rsid w:val="00577D2F"/>
    <w:rsid w:val="005808A7"/>
    <w:rsid w:val="00581DEA"/>
    <w:rsid w:val="00581F23"/>
    <w:rsid w:val="00582B76"/>
    <w:rsid w:val="005839C9"/>
    <w:rsid w:val="005848C6"/>
    <w:rsid w:val="00584B62"/>
    <w:rsid w:val="00585975"/>
    <w:rsid w:val="00585CE4"/>
    <w:rsid w:val="00586333"/>
    <w:rsid w:val="00586D48"/>
    <w:rsid w:val="0059031E"/>
    <w:rsid w:val="0059116E"/>
    <w:rsid w:val="00591591"/>
    <w:rsid w:val="005918ED"/>
    <w:rsid w:val="00591AEB"/>
    <w:rsid w:val="005925E5"/>
    <w:rsid w:val="005939FC"/>
    <w:rsid w:val="00594988"/>
    <w:rsid w:val="00595332"/>
    <w:rsid w:val="00595497"/>
    <w:rsid w:val="00596E29"/>
    <w:rsid w:val="005A00EC"/>
    <w:rsid w:val="005A0C8C"/>
    <w:rsid w:val="005A150B"/>
    <w:rsid w:val="005A2A37"/>
    <w:rsid w:val="005A4C8E"/>
    <w:rsid w:val="005A4E04"/>
    <w:rsid w:val="005A65D0"/>
    <w:rsid w:val="005A6630"/>
    <w:rsid w:val="005A6859"/>
    <w:rsid w:val="005A7137"/>
    <w:rsid w:val="005A72AD"/>
    <w:rsid w:val="005B0260"/>
    <w:rsid w:val="005B261A"/>
    <w:rsid w:val="005B2ADD"/>
    <w:rsid w:val="005B2B2E"/>
    <w:rsid w:val="005B2B79"/>
    <w:rsid w:val="005B5565"/>
    <w:rsid w:val="005B5C1F"/>
    <w:rsid w:val="005B6338"/>
    <w:rsid w:val="005B6FF7"/>
    <w:rsid w:val="005B765A"/>
    <w:rsid w:val="005B7E9E"/>
    <w:rsid w:val="005C2FB1"/>
    <w:rsid w:val="005C3445"/>
    <w:rsid w:val="005C4814"/>
    <w:rsid w:val="005C537B"/>
    <w:rsid w:val="005C5D0F"/>
    <w:rsid w:val="005C60DA"/>
    <w:rsid w:val="005C6477"/>
    <w:rsid w:val="005C6553"/>
    <w:rsid w:val="005C6745"/>
    <w:rsid w:val="005C6790"/>
    <w:rsid w:val="005C71F9"/>
    <w:rsid w:val="005C762C"/>
    <w:rsid w:val="005C787C"/>
    <w:rsid w:val="005C7D6D"/>
    <w:rsid w:val="005D0484"/>
    <w:rsid w:val="005D1965"/>
    <w:rsid w:val="005D2256"/>
    <w:rsid w:val="005D3E58"/>
    <w:rsid w:val="005D4FED"/>
    <w:rsid w:val="005D564B"/>
    <w:rsid w:val="005D60FE"/>
    <w:rsid w:val="005D65CB"/>
    <w:rsid w:val="005D6F78"/>
    <w:rsid w:val="005D720F"/>
    <w:rsid w:val="005D73CF"/>
    <w:rsid w:val="005D7C15"/>
    <w:rsid w:val="005D7C58"/>
    <w:rsid w:val="005E110D"/>
    <w:rsid w:val="005E19C9"/>
    <w:rsid w:val="005E1ED6"/>
    <w:rsid w:val="005E327F"/>
    <w:rsid w:val="005E51E0"/>
    <w:rsid w:val="005E6E5A"/>
    <w:rsid w:val="005E7962"/>
    <w:rsid w:val="005F078F"/>
    <w:rsid w:val="005F08B6"/>
    <w:rsid w:val="005F2128"/>
    <w:rsid w:val="005F2513"/>
    <w:rsid w:val="005F2841"/>
    <w:rsid w:val="005F2CD8"/>
    <w:rsid w:val="005F3A77"/>
    <w:rsid w:val="005F4176"/>
    <w:rsid w:val="005F5E52"/>
    <w:rsid w:val="005F65CC"/>
    <w:rsid w:val="005F798B"/>
    <w:rsid w:val="006009EF"/>
    <w:rsid w:val="00602FF0"/>
    <w:rsid w:val="00603322"/>
    <w:rsid w:val="00603759"/>
    <w:rsid w:val="00603AC9"/>
    <w:rsid w:val="006041FA"/>
    <w:rsid w:val="00604CFA"/>
    <w:rsid w:val="006053B5"/>
    <w:rsid w:val="00605DFF"/>
    <w:rsid w:val="006067FA"/>
    <w:rsid w:val="00607084"/>
    <w:rsid w:val="00607218"/>
    <w:rsid w:val="00607535"/>
    <w:rsid w:val="00607726"/>
    <w:rsid w:val="00610D41"/>
    <w:rsid w:val="006115C0"/>
    <w:rsid w:val="0061160F"/>
    <w:rsid w:val="00614285"/>
    <w:rsid w:val="006143DF"/>
    <w:rsid w:val="006147FC"/>
    <w:rsid w:val="006149CF"/>
    <w:rsid w:val="00614C0F"/>
    <w:rsid w:val="00615997"/>
    <w:rsid w:val="0062092D"/>
    <w:rsid w:val="00622BAB"/>
    <w:rsid w:val="00622E08"/>
    <w:rsid w:val="0062379A"/>
    <w:rsid w:val="0062399F"/>
    <w:rsid w:val="006239CF"/>
    <w:rsid w:val="00623DF8"/>
    <w:rsid w:val="0062516C"/>
    <w:rsid w:val="006254FE"/>
    <w:rsid w:val="006258DE"/>
    <w:rsid w:val="0062659F"/>
    <w:rsid w:val="0062669A"/>
    <w:rsid w:val="0062781C"/>
    <w:rsid w:val="00634468"/>
    <w:rsid w:val="006350B2"/>
    <w:rsid w:val="006352E6"/>
    <w:rsid w:val="00635754"/>
    <w:rsid w:val="0063600F"/>
    <w:rsid w:val="0063606C"/>
    <w:rsid w:val="00636A25"/>
    <w:rsid w:val="00637427"/>
    <w:rsid w:val="006403E9"/>
    <w:rsid w:val="006405C7"/>
    <w:rsid w:val="006409D0"/>
    <w:rsid w:val="00640BFF"/>
    <w:rsid w:val="00641AB6"/>
    <w:rsid w:val="00642E83"/>
    <w:rsid w:val="0064421A"/>
    <w:rsid w:val="006447C0"/>
    <w:rsid w:val="006520FA"/>
    <w:rsid w:val="0065219B"/>
    <w:rsid w:val="00652A25"/>
    <w:rsid w:val="00653C6D"/>
    <w:rsid w:val="006548CC"/>
    <w:rsid w:val="006550A7"/>
    <w:rsid w:val="006553DA"/>
    <w:rsid w:val="00655DB2"/>
    <w:rsid w:val="00656121"/>
    <w:rsid w:val="006564C6"/>
    <w:rsid w:val="006568F4"/>
    <w:rsid w:val="0065716D"/>
    <w:rsid w:val="0066010A"/>
    <w:rsid w:val="006609BF"/>
    <w:rsid w:val="00661445"/>
    <w:rsid w:val="00662517"/>
    <w:rsid w:val="00662882"/>
    <w:rsid w:val="00662FCF"/>
    <w:rsid w:val="006630ED"/>
    <w:rsid w:val="00664222"/>
    <w:rsid w:val="0066580A"/>
    <w:rsid w:val="00665B1E"/>
    <w:rsid w:val="00666A48"/>
    <w:rsid w:val="00666DA6"/>
    <w:rsid w:val="00666DEB"/>
    <w:rsid w:val="00667D79"/>
    <w:rsid w:val="00668A9F"/>
    <w:rsid w:val="0066C583"/>
    <w:rsid w:val="00670619"/>
    <w:rsid w:val="006707D9"/>
    <w:rsid w:val="00670989"/>
    <w:rsid w:val="00671011"/>
    <w:rsid w:val="006725A2"/>
    <w:rsid w:val="00672C19"/>
    <w:rsid w:val="00672F34"/>
    <w:rsid w:val="0067312B"/>
    <w:rsid w:val="006735B8"/>
    <w:rsid w:val="00674025"/>
    <w:rsid w:val="00674339"/>
    <w:rsid w:val="00675979"/>
    <w:rsid w:val="006763C2"/>
    <w:rsid w:val="00676B1D"/>
    <w:rsid w:val="006779A5"/>
    <w:rsid w:val="00677BF6"/>
    <w:rsid w:val="006801F5"/>
    <w:rsid w:val="00680AF6"/>
    <w:rsid w:val="00680FEE"/>
    <w:rsid w:val="00681AFA"/>
    <w:rsid w:val="00681C08"/>
    <w:rsid w:val="00681C82"/>
    <w:rsid w:val="00682A7F"/>
    <w:rsid w:val="00682CDD"/>
    <w:rsid w:val="0068359A"/>
    <w:rsid w:val="0068367D"/>
    <w:rsid w:val="00684C2D"/>
    <w:rsid w:val="00684F62"/>
    <w:rsid w:val="00685325"/>
    <w:rsid w:val="0068599F"/>
    <w:rsid w:val="00686101"/>
    <w:rsid w:val="006861AA"/>
    <w:rsid w:val="00686F68"/>
    <w:rsid w:val="006873BB"/>
    <w:rsid w:val="00687693"/>
    <w:rsid w:val="0068F8EC"/>
    <w:rsid w:val="0069060D"/>
    <w:rsid w:val="006934A3"/>
    <w:rsid w:val="00693586"/>
    <w:rsid w:val="00694FFB"/>
    <w:rsid w:val="0069500F"/>
    <w:rsid w:val="00695795"/>
    <w:rsid w:val="00696769"/>
    <w:rsid w:val="006A04B2"/>
    <w:rsid w:val="006A0C77"/>
    <w:rsid w:val="006A0E2D"/>
    <w:rsid w:val="006A20E3"/>
    <w:rsid w:val="006A2AA6"/>
    <w:rsid w:val="006A38C0"/>
    <w:rsid w:val="006A3CD3"/>
    <w:rsid w:val="006A3D37"/>
    <w:rsid w:val="006A4827"/>
    <w:rsid w:val="006A554B"/>
    <w:rsid w:val="006A5BF3"/>
    <w:rsid w:val="006A5F1D"/>
    <w:rsid w:val="006A6363"/>
    <w:rsid w:val="006A717E"/>
    <w:rsid w:val="006A746A"/>
    <w:rsid w:val="006A778B"/>
    <w:rsid w:val="006A7D9E"/>
    <w:rsid w:val="006B00B4"/>
    <w:rsid w:val="006B035E"/>
    <w:rsid w:val="006B05FF"/>
    <w:rsid w:val="006B0698"/>
    <w:rsid w:val="006B100E"/>
    <w:rsid w:val="006B1C0C"/>
    <w:rsid w:val="006B2176"/>
    <w:rsid w:val="006B2946"/>
    <w:rsid w:val="006B40D8"/>
    <w:rsid w:val="006B4B43"/>
    <w:rsid w:val="006B4EC6"/>
    <w:rsid w:val="006C02D4"/>
    <w:rsid w:val="006C0661"/>
    <w:rsid w:val="006C101F"/>
    <w:rsid w:val="006C19C2"/>
    <w:rsid w:val="006C2478"/>
    <w:rsid w:val="006C41BE"/>
    <w:rsid w:val="006C4DA9"/>
    <w:rsid w:val="006C7838"/>
    <w:rsid w:val="006CE815"/>
    <w:rsid w:val="006D134B"/>
    <w:rsid w:val="006D1CF9"/>
    <w:rsid w:val="006D2743"/>
    <w:rsid w:val="006D4004"/>
    <w:rsid w:val="006D57B3"/>
    <w:rsid w:val="006D6626"/>
    <w:rsid w:val="006D675F"/>
    <w:rsid w:val="006D6B03"/>
    <w:rsid w:val="006E128A"/>
    <w:rsid w:val="006E223B"/>
    <w:rsid w:val="006E23AC"/>
    <w:rsid w:val="006E2B0D"/>
    <w:rsid w:val="006E2C0A"/>
    <w:rsid w:val="006E2F14"/>
    <w:rsid w:val="006E4349"/>
    <w:rsid w:val="006E4448"/>
    <w:rsid w:val="006E482E"/>
    <w:rsid w:val="006E50BE"/>
    <w:rsid w:val="006E60FC"/>
    <w:rsid w:val="006E62FF"/>
    <w:rsid w:val="006E6CD1"/>
    <w:rsid w:val="006E7D3F"/>
    <w:rsid w:val="006F0568"/>
    <w:rsid w:val="006F1ADB"/>
    <w:rsid w:val="006F2618"/>
    <w:rsid w:val="006F299A"/>
    <w:rsid w:val="006F32B1"/>
    <w:rsid w:val="006F396C"/>
    <w:rsid w:val="006F666F"/>
    <w:rsid w:val="006F70EC"/>
    <w:rsid w:val="006F76E0"/>
    <w:rsid w:val="0070090C"/>
    <w:rsid w:val="00700CA4"/>
    <w:rsid w:val="00701B43"/>
    <w:rsid w:val="00702AC2"/>
    <w:rsid w:val="00705972"/>
    <w:rsid w:val="00705F9F"/>
    <w:rsid w:val="00706929"/>
    <w:rsid w:val="00706A07"/>
    <w:rsid w:val="00707B26"/>
    <w:rsid w:val="00707B4E"/>
    <w:rsid w:val="00710DB7"/>
    <w:rsid w:val="00712916"/>
    <w:rsid w:val="0071325F"/>
    <w:rsid w:val="007153F4"/>
    <w:rsid w:val="00716080"/>
    <w:rsid w:val="00717127"/>
    <w:rsid w:val="00717858"/>
    <w:rsid w:val="007178AF"/>
    <w:rsid w:val="00717FF2"/>
    <w:rsid w:val="00720D47"/>
    <w:rsid w:val="007215E7"/>
    <w:rsid w:val="00721CE6"/>
    <w:rsid w:val="00721D7B"/>
    <w:rsid w:val="007221DB"/>
    <w:rsid w:val="00722430"/>
    <w:rsid w:val="00723298"/>
    <w:rsid w:val="0072343D"/>
    <w:rsid w:val="00723F0B"/>
    <w:rsid w:val="00724F2D"/>
    <w:rsid w:val="00726146"/>
    <w:rsid w:val="00731EB6"/>
    <w:rsid w:val="00733835"/>
    <w:rsid w:val="00733E71"/>
    <w:rsid w:val="00733F16"/>
    <w:rsid w:val="00735082"/>
    <w:rsid w:val="007355B3"/>
    <w:rsid w:val="007356A4"/>
    <w:rsid w:val="00740DB0"/>
    <w:rsid w:val="00740EA3"/>
    <w:rsid w:val="0074183D"/>
    <w:rsid w:val="00742555"/>
    <w:rsid w:val="00743260"/>
    <w:rsid w:val="00745833"/>
    <w:rsid w:val="00746236"/>
    <w:rsid w:val="007486FB"/>
    <w:rsid w:val="00750402"/>
    <w:rsid w:val="00751049"/>
    <w:rsid w:val="007519FC"/>
    <w:rsid w:val="00751A84"/>
    <w:rsid w:val="00751D9D"/>
    <w:rsid w:val="00752512"/>
    <w:rsid w:val="007532DF"/>
    <w:rsid w:val="00753631"/>
    <w:rsid w:val="00753767"/>
    <w:rsid w:val="00753FDA"/>
    <w:rsid w:val="00754A09"/>
    <w:rsid w:val="00755835"/>
    <w:rsid w:val="007560B7"/>
    <w:rsid w:val="00756CAB"/>
    <w:rsid w:val="00760CC2"/>
    <w:rsid w:val="00760EC5"/>
    <w:rsid w:val="00764140"/>
    <w:rsid w:val="00764B9F"/>
    <w:rsid w:val="0076506C"/>
    <w:rsid w:val="0076573E"/>
    <w:rsid w:val="007659C2"/>
    <w:rsid w:val="00766057"/>
    <w:rsid w:val="0076704C"/>
    <w:rsid w:val="00767BDC"/>
    <w:rsid w:val="00767C22"/>
    <w:rsid w:val="00771332"/>
    <w:rsid w:val="007720AA"/>
    <w:rsid w:val="00772176"/>
    <w:rsid w:val="00772517"/>
    <w:rsid w:val="00772748"/>
    <w:rsid w:val="0077278E"/>
    <w:rsid w:val="0077280F"/>
    <w:rsid w:val="00772923"/>
    <w:rsid w:val="00772B5C"/>
    <w:rsid w:val="00774CDD"/>
    <w:rsid w:val="0077526A"/>
    <w:rsid w:val="00775A82"/>
    <w:rsid w:val="00775AA4"/>
    <w:rsid w:val="00776549"/>
    <w:rsid w:val="007765A1"/>
    <w:rsid w:val="0077692E"/>
    <w:rsid w:val="00776E3E"/>
    <w:rsid w:val="007772C4"/>
    <w:rsid w:val="007773B9"/>
    <w:rsid w:val="0077744C"/>
    <w:rsid w:val="00777FA3"/>
    <w:rsid w:val="007803BB"/>
    <w:rsid w:val="007804F4"/>
    <w:rsid w:val="007806BA"/>
    <w:rsid w:val="007816A4"/>
    <w:rsid w:val="00781B12"/>
    <w:rsid w:val="00781E51"/>
    <w:rsid w:val="007821D8"/>
    <w:rsid w:val="00782D6E"/>
    <w:rsid w:val="00782E9C"/>
    <w:rsid w:val="00783828"/>
    <w:rsid w:val="007845CD"/>
    <w:rsid w:val="00784F97"/>
    <w:rsid w:val="007862FE"/>
    <w:rsid w:val="007865A6"/>
    <w:rsid w:val="00786BDA"/>
    <w:rsid w:val="00787324"/>
    <w:rsid w:val="00790748"/>
    <w:rsid w:val="00791151"/>
    <w:rsid w:val="007914F9"/>
    <w:rsid w:val="007919E4"/>
    <w:rsid w:val="007923F9"/>
    <w:rsid w:val="007931AF"/>
    <w:rsid w:val="00794DBE"/>
    <w:rsid w:val="007950D8"/>
    <w:rsid w:val="007954E2"/>
    <w:rsid w:val="00796146"/>
    <w:rsid w:val="0079729F"/>
    <w:rsid w:val="007A07E9"/>
    <w:rsid w:val="007A0CF5"/>
    <w:rsid w:val="007A18F1"/>
    <w:rsid w:val="007A3200"/>
    <w:rsid w:val="007A334C"/>
    <w:rsid w:val="007A37E1"/>
    <w:rsid w:val="007A38B0"/>
    <w:rsid w:val="007A41A9"/>
    <w:rsid w:val="007A54AF"/>
    <w:rsid w:val="007A64A1"/>
    <w:rsid w:val="007A67BA"/>
    <w:rsid w:val="007A7058"/>
    <w:rsid w:val="007A7F07"/>
    <w:rsid w:val="007B11FF"/>
    <w:rsid w:val="007B29B1"/>
    <w:rsid w:val="007B2F1C"/>
    <w:rsid w:val="007B3394"/>
    <w:rsid w:val="007B3CB0"/>
    <w:rsid w:val="007B4099"/>
    <w:rsid w:val="007B4848"/>
    <w:rsid w:val="007B7352"/>
    <w:rsid w:val="007C05A0"/>
    <w:rsid w:val="007C0ED8"/>
    <w:rsid w:val="007C20A7"/>
    <w:rsid w:val="007C49F9"/>
    <w:rsid w:val="007C5777"/>
    <w:rsid w:val="007C58B0"/>
    <w:rsid w:val="007C5B10"/>
    <w:rsid w:val="007C60BB"/>
    <w:rsid w:val="007C704A"/>
    <w:rsid w:val="007C7C3A"/>
    <w:rsid w:val="007D0CF2"/>
    <w:rsid w:val="007D181B"/>
    <w:rsid w:val="007D1CD6"/>
    <w:rsid w:val="007D1D59"/>
    <w:rsid w:val="007D3541"/>
    <w:rsid w:val="007D4657"/>
    <w:rsid w:val="007D59F7"/>
    <w:rsid w:val="007D6869"/>
    <w:rsid w:val="007D7D6B"/>
    <w:rsid w:val="007E008F"/>
    <w:rsid w:val="007E0877"/>
    <w:rsid w:val="007E094E"/>
    <w:rsid w:val="007E0D0C"/>
    <w:rsid w:val="007E0F2B"/>
    <w:rsid w:val="007E165C"/>
    <w:rsid w:val="007E21BE"/>
    <w:rsid w:val="007E2AE7"/>
    <w:rsid w:val="007E2EC9"/>
    <w:rsid w:val="007E31FF"/>
    <w:rsid w:val="007E4E8E"/>
    <w:rsid w:val="007E5672"/>
    <w:rsid w:val="007E5F56"/>
    <w:rsid w:val="007E5FEF"/>
    <w:rsid w:val="007E66B8"/>
    <w:rsid w:val="007E6DB4"/>
    <w:rsid w:val="007E764C"/>
    <w:rsid w:val="007E7961"/>
    <w:rsid w:val="007E7A7E"/>
    <w:rsid w:val="007F123C"/>
    <w:rsid w:val="007F26C8"/>
    <w:rsid w:val="007F2C87"/>
    <w:rsid w:val="007F2E73"/>
    <w:rsid w:val="007F329F"/>
    <w:rsid w:val="007F44C3"/>
    <w:rsid w:val="007F4530"/>
    <w:rsid w:val="007F477E"/>
    <w:rsid w:val="007F7710"/>
    <w:rsid w:val="007F7B8B"/>
    <w:rsid w:val="00800B8D"/>
    <w:rsid w:val="00801038"/>
    <w:rsid w:val="00801A4B"/>
    <w:rsid w:val="00801CE2"/>
    <w:rsid w:val="00801F69"/>
    <w:rsid w:val="00804126"/>
    <w:rsid w:val="008042D4"/>
    <w:rsid w:val="00804A62"/>
    <w:rsid w:val="0080515B"/>
    <w:rsid w:val="00805345"/>
    <w:rsid w:val="00805A9D"/>
    <w:rsid w:val="00805BC5"/>
    <w:rsid w:val="00806BFD"/>
    <w:rsid w:val="00806F50"/>
    <w:rsid w:val="0080743D"/>
    <w:rsid w:val="00807509"/>
    <w:rsid w:val="00807B21"/>
    <w:rsid w:val="0081057D"/>
    <w:rsid w:val="008106EA"/>
    <w:rsid w:val="00810BA5"/>
    <w:rsid w:val="00811136"/>
    <w:rsid w:val="00811470"/>
    <w:rsid w:val="008116DF"/>
    <w:rsid w:val="0081185B"/>
    <w:rsid w:val="008135D3"/>
    <w:rsid w:val="00814A96"/>
    <w:rsid w:val="00814D94"/>
    <w:rsid w:val="00814E40"/>
    <w:rsid w:val="00815403"/>
    <w:rsid w:val="008156E7"/>
    <w:rsid w:val="00816DD6"/>
    <w:rsid w:val="0081784A"/>
    <w:rsid w:val="00821227"/>
    <w:rsid w:val="00821EC2"/>
    <w:rsid w:val="00822050"/>
    <w:rsid w:val="00823580"/>
    <w:rsid w:val="00823F3A"/>
    <w:rsid w:val="00825CBC"/>
    <w:rsid w:val="008270A0"/>
    <w:rsid w:val="00830892"/>
    <w:rsid w:val="00830EB1"/>
    <w:rsid w:val="00830F9F"/>
    <w:rsid w:val="0083177A"/>
    <w:rsid w:val="0083177B"/>
    <w:rsid w:val="0083201E"/>
    <w:rsid w:val="00832803"/>
    <w:rsid w:val="00834399"/>
    <w:rsid w:val="00834E98"/>
    <w:rsid w:val="008351D1"/>
    <w:rsid w:val="00835684"/>
    <w:rsid w:val="008356F5"/>
    <w:rsid w:val="00837B89"/>
    <w:rsid w:val="00837D38"/>
    <w:rsid w:val="00840B41"/>
    <w:rsid w:val="00840BE3"/>
    <w:rsid w:val="00840F09"/>
    <w:rsid w:val="00840FFA"/>
    <w:rsid w:val="008419CA"/>
    <w:rsid w:val="00842A8C"/>
    <w:rsid w:val="00843A03"/>
    <w:rsid w:val="00844CBB"/>
    <w:rsid w:val="008460E2"/>
    <w:rsid w:val="00847549"/>
    <w:rsid w:val="00847744"/>
    <w:rsid w:val="00850F11"/>
    <w:rsid w:val="008514A6"/>
    <w:rsid w:val="0085179E"/>
    <w:rsid w:val="00852B3F"/>
    <w:rsid w:val="00853364"/>
    <w:rsid w:val="00853D5E"/>
    <w:rsid w:val="00853DB1"/>
    <w:rsid w:val="0085493D"/>
    <w:rsid w:val="00854DC2"/>
    <w:rsid w:val="008558B7"/>
    <w:rsid w:val="0085648B"/>
    <w:rsid w:val="0085650E"/>
    <w:rsid w:val="00856677"/>
    <w:rsid w:val="00856721"/>
    <w:rsid w:val="00861405"/>
    <w:rsid w:val="0086219C"/>
    <w:rsid w:val="00862E5D"/>
    <w:rsid w:val="00863202"/>
    <w:rsid w:val="00863871"/>
    <w:rsid w:val="0086400D"/>
    <w:rsid w:val="0086452D"/>
    <w:rsid w:val="00864B5B"/>
    <w:rsid w:val="00864C94"/>
    <w:rsid w:val="0086518E"/>
    <w:rsid w:val="00865AB5"/>
    <w:rsid w:val="0086636D"/>
    <w:rsid w:val="0086692D"/>
    <w:rsid w:val="0086728C"/>
    <w:rsid w:val="00867605"/>
    <w:rsid w:val="0086767F"/>
    <w:rsid w:val="00867CBE"/>
    <w:rsid w:val="00871A43"/>
    <w:rsid w:val="00872445"/>
    <w:rsid w:val="00872813"/>
    <w:rsid w:val="008730E0"/>
    <w:rsid w:val="00873565"/>
    <w:rsid w:val="008756A0"/>
    <w:rsid w:val="0087622A"/>
    <w:rsid w:val="008768F3"/>
    <w:rsid w:val="00876B25"/>
    <w:rsid w:val="0088035C"/>
    <w:rsid w:val="0088114D"/>
    <w:rsid w:val="008815E4"/>
    <w:rsid w:val="00881AF1"/>
    <w:rsid w:val="00881CFB"/>
    <w:rsid w:val="008821E0"/>
    <w:rsid w:val="00882A7B"/>
    <w:rsid w:val="00882DD4"/>
    <w:rsid w:val="0088339B"/>
    <w:rsid w:val="00883DD5"/>
    <w:rsid w:val="00884A89"/>
    <w:rsid w:val="00885129"/>
    <w:rsid w:val="008857C2"/>
    <w:rsid w:val="00885D0E"/>
    <w:rsid w:val="00887920"/>
    <w:rsid w:val="00890C54"/>
    <w:rsid w:val="00890EA4"/>
    <w:rsid w:val="0089283A"/>
    <w:rsid w:val="00892CCD"/>
    <w:rsid w:val="00893EA2"/>
    <w:rsid w:val="00894136"/>
    <w:rsid w:val="00894B7B"/>
    <w:rsid w:val="00895791"/>
    <w:rsid w:val="00896546"/>
    <w:rsid w:val="00896A10"/>
    <w:rsid w:val="008974EC"/>
    <w:rsid w:val="00897E65"/>
    <w:rsid w:val="0089C313"/>
    <w:rsid w:val="008A261D"/>
    <w:rsid w:val="008A3255"/>
    <w:rsid w:val="008A42C3"/>
    <w:rsid w:val="008A520C"/>
    <w:rsid w:val="008A63EC"/>
    <w:rsid w:val="008A73EC"/>
    <w:rsid w:val="008A7747"/>
    <w:rsid w:val="008AACFA"/>
    <w:rsid w:val="008B2AEB"/>
    <w:rsid w:val="008B365E"/>
    <w:rsid w:val="008B3C7E"/>
    <w:rsid w:val="008B4025"/>
    <w:rsid w:val="008B403B"/>
    <w:rsid w:val="008B45A8"/>
    <w:rsid w:val="008B5572"/>
    <w:rsid w:val="008B6D03"/>
    <w:rsid w:val="008C035B"/>
    <w:rsid w:val="008C0F6C"/>
    <w:rsid w:val="008C18A9"/>
    <w:rsid w:val="008C2254"/>
    <w:rsid w:val="008C34C8"/>
    <w:rsid w:val="008C373B"/>
    <w:rsid w:val="008C6169"/>
    <w:rsid w:val="008C6E24"/>
    <w:rsid w:val="008D1E01"/>
    <w:rsid w:val="008D2AD6"/>
    <w:rsid w:val="008D3BF1"/>
    <w:rsid w:val="008D3BFC"/>
    <w:rsid w:val="008D44E1"/>
    <w:rsid w:val="008D4CFC"/>
    <w:rsid w:val="008D6FE0"/>
    <w:rsid w:val="008E0C6B"/>
    <w:rsid w:val="008E0FCB"/>
    <w:rsid w:val="008E1390"/>
    <w:rsid w:val="008E2B65"/>
    <w:rsid w:val="008E2DEC"/>
    <w:rsid w:val="008E4396"/>
    <w:rsid w:val="008E4C22"/>
    <w:rsid w:val="008E4C87"/>
    <w:rsid w:val="008E599C"/>
    <w:rsid w:val="008E5CBE"/>
    <w:rsid w:val="008E651D"/>
    <w:rsid w:val="008F415F"/>
    <w:rsid w:val="008F4622"/>
    <w:rsid w:val="008F487C"/>
    <w:rsid w:val="008F4AFD"/>
    <w:rsid w:val="008F4E99"/>
    <w:rsid w:val="008F56F0"/>
    <w:rsid w:val="008F768D"/>
    <w:rsid w:val="00900100"/>
    <w:rsid w:val="00901EDA"/>
    <w:rsid w:val="00902243"/>
    <w:rsid w:val="009026FB"/>
    <w:rsid w:val="00902A3D"/>
    <w:rsid w:val="00902F9E"/>
    <w:rsid w:val="00902FCD"/>
    <w:rsid w:val="00904C0E"/>
    <w:rsid w:val="00905B5F"/>
    <w:rsid w:val="00907B37"/>
    <w:rsid w:val="00907E6E"/>
    <w:rsid w:val="00910377"/>
    <w:rsid w:val="00911038"/>
    <w:rsid w:val="009110A0"/>
    <w:rsid w:val="00911322"/>
    <w:rsid w:val="00911610"/>
    <w:rsid w:val="00911F01"/>
    <w:rsid w:val="00911FE1"/>
    <w:rsid w:val="00912A4B"/>
    <w:rsid w:val="00913844"/>
    <w:rsid w:val="00913AA0"/>
    <w:rsid w:val="00915435"/>
    <w:rsid w:val="0091614B"/>
    <w:rsid w:val="00916404"/>
    <w:rsid w:val="0091775E"/>
    <w:rsid w:val="00917CB4"/>
    <w:rsid w:val="00920515"/>
    <w:rsid w:val="009207BD"/>
    <w:rsid w:val="00920C12"/>
    <w:rsid w:val="00920C17"/>
    <w:rsid w:val="00922C9D"/>
    <w:rsid w:val="00923F32"/>
    <w:rsid w:val="009249F8"/>
    <w:rsid w:val="00925390"/>
    <w:rsid w:val="009259CC"/>
    <w:rsid w:val="0092715B"/>
    <w:rsid w:val="0092792B"/>
    <w:rsid w:val="00927C17"/>
    <w:rsid w:val="00927D90"/>
    <w:rsid w:val="00930A76"/>
    <w:rsid w:val="009314FC"/>
    <w:rsid w:val="0093164E"/>
    <w:rsid w:val="00931A2C"/>
    <w:rsid w:val="00933DF9"/>
    <w:rsid w:val="00934079"/>
    <w:rsid w:val="00934BC9"/>
    <w:rsid w:val="0093537D"/>
    <w:rsid w:val="009354B9"/>
    <w:rsid w:val="00935716"/>
    <w:rsid w:val="00936332"/>
    <w:rsid w:val="009367EE"/>
    <w:rsid w:val="009369ED"/>
    <w:rsid w:val="00937AE5"/>
    <w:rsid w:val="00937F6C"/>
    <w:rsid w:val="009402FB"/>
    <w:rsid w:val="009413DF"/>
    <w:rsid w:val="00942924"/>
    <w:rsid w:val="00942ED1"/>
    <w:rsid w:val="00943C0C"/>
    <w:rsid w:val="009445C6"/>
    <w:rsid w:val="00944B8E"/>
    <w:rsid w:val="00944E32"/>
    <w:rsid w:val="00945070"/>
    <w:rsid w:val="009450E7"/>
    <w:rsid w:val="00945233"/>
    <w:rsid w:val="009457CC"/>
    <w:rsid w:val="009471EC"/>
    <w:rsid w:val="00947EEC"/>
    <w:rsid w:val="00950661"/>
    <w:rsid w:val="00951214"/>
    <w:rsid w:val="00952094"/>
    <w:rsid w:val="00954F1F"/>
    <w:rsid w:val="00956F6C"/>
    <w:rsid w:val="00956F7C"/>
    <w:rsid w:val="00960053"/>
    <w:rsid w:val="009609ED"/>
    <w:rsid w:val="0096235E"/>
    <w:rsid w:val="009633A1"/>
    <w:rsid w:val="00963E84"/>
    <w:rsid w:val="00963F71"/>
    <w:rsid w:val="009641FB"/>
    <w:rsid w:val="00964518"/>
    <w:rsid w:val="00964F11"/>
    <w:rsid w:val="009669AB"/>
    <w:rsid w:val="00966D48"/>
    <w:rsid w:val="0096706B"/>
    <w:rsid w:val="00967AF7"/>
    <w:rsid w:val="009728E5"/>
    <w:rsid w:val="00974482"/>
    <w:rsid w:val="00974A18"/>
    <w:rsid w:val="0097543D"/>
    <w:rsid w:val="00976824"/>
    <w:rsid w:val="00976E6A"/>
    <w:rsid w:val="0097787C"/>
    <w:rsid w:val="0097DCFD"/>
    <w:rsid w:val="00980BDB"/>
    <w:rsid w:val="0098225D"/>
    <w:rsid w:val="00982568"/>
    <w:rsid w:val="00982583"/>
    <w:rsid w:val="00986E50"/>
    <w:rsid w:val="00987229"/>
    <w:rsid w:val="00990193"/>
    <w:rsid w:val="00990A35"/>
    <w:rsid w:val="00991796"/>
    <w:rsid w:val="00991BD7"/>
    <w:rsid w:val="0099297C"/>
    <w:rsid w:val="00992B24"/>
    <w:rsid w:val="00992C31"/>
    <w:rsid w:val="00993A93"/>
    <w:rsid w:val="00993CCE"/>
    <w:rsid w:val="00993D1C"/>
    <w:rsid w:val="009947B6"/>
    <w:rsid w:val="0099544C"/>
    <w:rsid w:val="00995B99"/>
    <w:rsid w:val="00996ABB"/>
    <w:rsid w:val="009979F1"/>
    <w:rsid w:val="009A0480"/>
    <w:rsid w:val="009A0CC1"/>
    <w:rsid w:val="009A2AD5"/>
    <w:rsid w:val="009A41DE"/>
    <w:rsid w:val="009A4637"/>
    <w:rsid w:val="009A6DEC"/>
    <w:rsid w:val="009A7CC3"/>
    <w:rsid w:val="009B0D04"/>
    <w:rsid w:val="009B1EA5"/>
    <w:rsid w:val="009B2F06"/>
    <w:rsid w:val="009B37FA"/>
    <w:rsid w:val="009B3D4D"/>
    <w:rsid w:val="009B3EC5"/>
    <w:rsid w:val="009B3F8A"/>
    <w:rsid w:val="009B6AC8"/>
    <w:rsid w:val="009B7A03"/>
    <w:rsid w:val="009C3324"/>
    <w:rsid w:val="009C343B"/>
    <w:rsid w:val="009C3935"/>
    <w:rsid w:val="009C3A5B"/>
    <w:rsid w:val="009C418C"/>
    <w:rsid w:val="009C4B8F"/>
    <w:rsid w:val="009C540B"/>
    <w:rsid w:val="009D0C35"/>
    <w:rsid w:val="009D0F2B"/>
    <w:rsid w:val="009D19C1"/>
    <w:rsid w:val="009D1A33"/>
    <w:rsid w:val="009D2458"/>
    <w:rsid w:val="009D2A2C"/>
    <w:rsid w:val="009D3EA3"/>
    <w:rsid w:val="009D62E6"/>
    <w:rsid w:val="009D6D87"/>
    <w:rsid w:val="009D79FA"/>
    <w:rsid w:val="009E0006"/>
    <w:rsid w:val="009E1594"/>
    <w:rsid w:val="009E19CC"/>
    <w:rsid w:val="009E1D42"/>
    <w:rsid w:val="009E2A0C"/>
    <w:rsid w:val="009E2CFF"/>
    <w:rsid w:val="009E4145"/>
    <w:rsid w:val="009E76AE"/>
    <w:rsid w:val="009E7CF6"/>
    <w:rsid w:val="009E7FE5"/>
    <w:rsid w:val="009F1175"/>
    <w:rsid w:val="009F11A3"/>
    <w:rsid w:val="009F21D4"/>
    <w:rsid w:val="009F3B18"/>
    <w:rsid w:val="009F3B4B"/>
    <w:rsid w:val="009F40FB"/>
    <w:rsid w:val="009F51C3"/>
    <w:rsid w:val="009F5302"/>
    <w:rsid w:val="009F5E47"/>
    <w:rsid w:val="009F6647"/>
    <w:rsid w:val="009F7B9B"/>
    <w:rsid w:val="00A01413"/>
    <w:rsid w:val="00A01C78"/>
    <w:rsid w:val="00A01F72"/>
    <w:rsid w:val="00A025B0"/>
    <w:rsid w:val="00A026C0"/>
    <w:rsid w:val="00A0290A"/>
    <w:rsid w:val="00A053A6"/>
    <w:rsid w:val="00A06451"/>
    <w:rsid w:val="00A079B0"/>
    <w:rsid w:val="00A115BB"/>
    <w:rsid w:val="00A11DBE"/>
    <w:rsid w:val="00A13EF6"/>
    <w:rsid w:val="00A1403D"/>
    <w:rsid w:val="00A1732C"/>
    <w:rsid w:val="00A2128D"/>
    <w:rsid w:val="00A256FF"/>
    <w:rsid w:val="00A2612E"/>
    <w:rsid w:val="00A2638D"/>
    <w:rsid w:val="00A270C3"/>
    <w:rsid w:val="00A2782F"/>
    <w:rsid w:val="00A27CA5"/>
    <w:rsid w:val="00A27F76"/>
    <w:rsid w:val="00A30149"/>
    <w:rsid w:val="00A3063C"/>
    <w:rsid w:val="00A32365"/>
    <w:rsid w:val="00A33E3A"/>
    <w:rsid w:val="00A34FE5"/>
    <w:rsid w:val="00A369D8"/>
    <w:rsid w:val="00A36A02"/>
    <w:rsid w:val="00A36BCB"/>
    <w:rsid w:val="00A40467"/>
    <w:rsid w:val="00A440B7"/>
    <w:rsid w:val="00A4413A"/>
    <w:rsid w:val="00A44A6F"/>
    <w:rsid w:val="00A45014"/>
    <w:rsid w:val="00A45A36"/>
    <w:rsid w:val="00A45FD6"/>
    <w:rsid w:val="00A46B58"/>
    <w:rsid w:val="00A477B2"/>
    <w:rsid w:val="00A4785D"/>
    <w:rsid w:val="00A47B7E"/>
    <w:rsid w:val="00A503F6"/>
    <w:rsid w:val="00A50467"/>
    <w:rsid w:val="00A5109C"/>
    <w:rsid w:val="00A51B0A"/>
    <w:rsid w:val="00A5226C"/>
    <w:rsid w:val="00A5246E"/>
    <w:rsid w:val="00A52735"/>
    <w:rsid w:val="00A53787"/>
    <w:rsid w:val="00A53EA5"/>
    <w:rsid w:val="00A55C13"/>
    <w:rsid w:val="00A55CB1"/>
    <w:rsid w:val="00A56017"/>
    <w:rsid w:val="00A56287"/>
    <w:rsid w:val="00A56813"/>
    <w:rsid w:val="00A57EF3"/>
    <w:rsid w:val="00A6063B"/>
    <w:rsid w:val="00A61B2D"/>
    <w:rsid w:val="00A64C26"/>
    <w:rsid w:val="00A64DD7"/>
    <w:rsid w:val="00A65446"/>
    <w:rsid w:val="00A65DFE"/>
    <w:rsid w:val="00A66183"/>
    <w:rsid w:val="00A66627"/>
    <w:rsid w:val="00A6692B"/>
    <w:rsid w:val="00A66E76"/>
    <w:rsid w:val="00A67204"/>
    <w:rsid w:val="00A67491"/>
    <w:rsid w:val="00A678DE"/>
    <w:rsid w:val="00A67C6A"/>
    <w:rsid w:val="00A7060A"/>
    <w:rsid w:val="00A7076C"/>
    <w:rsid w:val="00A73243"/>
    <w:rsid w:val="00A73F8E"/>
    <w:rsid w:val="00A74E1F"/>
    <w:rsid w:val="00A769C5"/>
    <w:rsid w:val="00A76CFC"/>
    <w:rsid w:val="00A77207"/>
    <w:rsid w:val="00A77494"/>
    <w:rsid w:val="00A803B0"/>
    <w:rsid w:val="00A80987"/>
    <w:rsid w:val="00A812ED"/>
    <w:rsid w:val="00A8229E"/>
    <w:rsid w:val="00A836F9"/>
    <w:rsid w:val="00A83DFD"/>
    <w:rsid w:val="00A842F4"/>
    <w:rsid w:val="00A847A7"/>
    <w:rsid w:val="00A85E24"/>
    <w:rsid w:val="00A90C65"/>
    <w:rsid w:val="00A91103"/>
    <w:rsid w:val="00A915E8"/>
    <w:rsid w:val="00A91A43"/>
    <w:rsid w:val="00A927AD"/>
    <w:rsid w:val="00A93AB8"/>
    <w:rsid w:val="00A95042"/>
    <w:rsid w:val="00A979E1"/>
    <w:rsid w:val="00A97BEC"/>
    <w:rsid w:val="00AA05C8"/>
    <w:rsid w:val="00AA16F6"/>
    <w:rsid w:val="00AA1B00"/>
    <w:rsid w:val="00AA1E5C"/>
    <w:rsid w:val="00AA3DCB"/>
    <w:rsid w:val="00AA488C"/>
    <w:rsid w:val="00AA55B0"/>
    <w:rsid w:val="00AA674E"/>
    <w:rsid w:val="00AA6860"/>
    <w:rsid w:val="00AA71E5"/>
    <w:rsid w:val="00AA7365"/>
    <w:rsid w:val="00AA7980"/>
    <w:rsid w:val="00AA7E90"/>
    <w:rsid w:val="00AB1158"/>
    <w:rsid w:val="00AB1366"/>
    <w:rsid w:val="00AB1D5B"/>
    <w:rsid w:val="00AB3271"/>
    <w:rsid w:val="00AB389D"/>
    <w:rsid w:val="00AB495A"/>
    <w:rsid w:val="00AB614F"/>
    <w:rsid w:val="00AB7E25"/>
    <w:rsid w:val="00ABD2F7"/>
    <w:rsid w:val="00AC1503"/>
    <w:rsid w:val="00AC168F"/>
    <w:rsid w:val="00AC199B"/>
    <w:rsid w:val="00AC1F4D"/>
    <w:rsid w:val="00AC2A14"/>
    <w:rsid w:val="00AC3D27"/>
    <w:rsid w:val="00AC461A"/>
    <w:rsid w:val="00AC4716"/>
    <w:rsid w:val="00AC49C5"/>
    <w:rsid w:val="00AC4B55"/>
    <w:rsid w:val="00AC5EDB"/>
    <w:rsid w:val="00AC6168"/>
    <w:rsid w:val="00AC6483"/>
    <w:rsid w:val="00AC6BEF"/>
    <w:rsid w:val="00AD0A38"/>
    <w:rsid w:val="00AD0B9A"/>
    <w:rsid w:val="00AD19BD"/>
    <w:rsid w:val="00AD1AA4"/>
    <w:rsid w:val="00AD26AC"/>
    <w:rsid w:val="00AD2CF2"/>
    <w:rsid w:val="00AD2D7E"/>
    <w:rsid w:val="00AD4AB6"/>
    <w:rsid w:val="00AD4EA4"/>
    <w:rsid w:val="00AD4FE4"/>
    <w:rsid w:val="00AD530A"/>
    <w:rsid w:val="00AD5ACB"/>
    <w:rsid w:val="00AD6599"/>
    <w:rsid w:val="00AD6605"/>
    <w:rsid w:val="00AD728E"/>
    <w:rsid w:val="00AD7BFA"/>
    <w:rsid w:val="00AD7CC2"/>
    <w:rsid w:val="00AD7D37"/>
    <w:rsid w:val="00AE02FB"/>
    <w:rsid w:val="00AE1930"/>
    <w:rsid w:val="00AE1F1E"/>
    <w:rsid w:val="00AE225E"/>
    <w:rsid w:val="00AE28C2"/>
    <w:rsid w:val="00AE2C0C"/>
    <w:rsid w:val="00AE3E5D"/>
    <w:rsid w:val="00AE408F"/>
    <w:rsid w:val="00AE4393"/>
    <w:rsid w:val="00AE495D"/>
    <w:rsid w:val="00AE5C6E"/>
    <w:rsid w:val="00AE6232"/>
    <w:rsid w:val="00AE6878"/>
    <w:rsid w:val="00AE6C29"/>
    <w:rsid w:val="00AE6C5B"/>
    <w:rsid w:val="00AE73F6"/>
    <w:rsid w:val="00AE7705"/>
    <w:rsid w:val="00AE7D98"/>
    <w:rsid w:val="00AF0DDB"/>
    <w:rsid w:val="00AF1140"/>
    <w:rsid w:val="00AF1436"/>
    <w:rsid w:val="00AF150C"/>
    <w:rsid w:val="00AF1F18"/>
    <w:rsid w:val="00AF2571"/>
    <w:rsid w:val="00AF297E"/>
    <w:rsid w:val="00AF2C9F"/>
    <w:rsid w:val="00AF2E47"/>
    <w:rsid w:val="00AF2F96"/>
    <w:rsid w:val="00AF3947"/>
    <w:rsid w:val="00AF4AD6"/>
    <w:rsid w:val="00AF4E53"/>
    <w:rsid w:val="00AF54EC"/>
    <w:rsid w:val="00AF7273"/>
    <w:rsid w:val="00AF7833"/>
    <w:rsid w:val="00AF7BAA"/>
    <w:rsid w:val="00AF7D89"/>
    <w:rsid w:val="00B0066D"/>
    <w:rsid w:val="00B007A5"/>
    <w:rsid w:val="00B00A25"/>
    <w:rsid w:val="00B02640"/>
    <w:rsid w:val="00B02B82"/>
    <w:rsid w:val="00B032DD"/>
    <w:rsid w:val="00B03725"/>
    <w:rsid w:val="00B03CC5"/>
    <w:rsid w:val="00B03F04"/>
    <w:rsid w:val="00B05086"/>
    <w:rsid w:val="00B06153"/>
    <w:rsid w:val="00B10C72"/>
    <w:rsid w:val="00B12A1C"/>
    <w:rsid w:val="00B12A66"/>
    <w:rsid w:val="00B13892"/>
    <w:rsid w:val="00B13E9F"/>
    <w:rsid w:val="00B1456B"/>
    <w:rsid w:val="00B15735"/>
    <w:rsid w:val="00B21AC9"/>
    <w:rsid w:val="00B21B45"/>
    <w:rsid w:val="00B23C69"/>
    <w:rsid w:val="00B2504E"/>
    <w:rsid w:val="00B25C4D"/>
    <w:rsid w:val="00B26C92"/>
    <w:rsid w:val="00B26D12"/>
    <w:rsid w:val="00B26DD4"/>
    <w:rsid w:val="00B305BE"/>
    <w:rsid w:val="00B30EC2"/>
    <w:rsid w:val="00B31E50"/>
    <w:rsid w:val="00B31F5B"/>
    <w:rsid w:val="00B32B3C"/>
    <w:rsid w:val="00B34621"/>
    <w:rsid w:val="00B34CA2"/>
    <w:rsid w:val="00B35947"/>
    <w:rsid w:val="00B36189"/>
    <w:rsid w:val="00B36223"/>
    <w:rsid w:val="00B363C7"/>
    <w:rsid w:val="00B36BD0"/>
    <w:rsid w:val="00B374D0"/>
    <w:rsid w:val="00B37A44"/>
    <w:rsid w:val="00B37BE9"/>
    <w:rsid w:val="00B41614"/>
    <w:rsid w:val="00B41656"/>
    <w:rsid w:val="00B418BC"/>
    <w:rsid w:val="00B41C81"/>
    <w:rsid w:val="00B42398"/>
    <w:rsid w:val="00B4263D"/>
    <w:rsid w:val="00B434EF"/>
    <w:rsid w:val="00B445D8"/>
    <w:rsid w:val="00B445E8"/>
    <w:rsid w:val="00B44938"/>
    <w:rsid w:val="00B45404"/>
    <w:rsid w:val="00B46258"/>
    <w:rsid w:val="00B51093"/>
    <w:rsid w:val="00B52497"/>
    <w:rsid w:val="00B52974"/>
    <w:rsid w:val="00B529E7"/>
    <w:rsid w:val="00B5341A"/>
    <w:rsid w:val="00B53909"/>
    <w:rsid w:val="00B56052"/>
    <w:rsid w:val="00B5719E"/>
    <w:rsid w:val="00B5A902"/>
    <w:rsid w:val="00B61031"/>
    <w:rsid w:val="00B6223F"/>
    <w:rsid w:val="00B62C00"/>
    <w:rsid w:val="00B62C1F"/>
    <w:rsid w:val="00B63FBC"/>
    <w:rsid w:val="00B66F0A"/>
    <w:rsid w:val="00B67198"/>
    <w:rsid w:val="00B70115"/>
    <w:rsid w:val="00B70322"/>
    <w:rsid w:val="00B71614"/>
    <w:rsid w:val="00B71C7B"/>
    <w:rsid w:val="00B739FC"/>
    <w:rsid w:val="00B75BEF"/>
    <w:rsid w:val="00B766F2"/>
    <w:rsid w:val="00B77EF6"/>
    <w:rsid w:val="00B8048F"/>
    <w:rsid w:val="00B81193"/>
    <w:rsid w:val="00B81E59"/>
    <w:rsid w:val="00B836EE"/>
    <w:rsid w:val="00B83E0F"/>
    <w:rsid w:val="00B8417E"/>
    <w:rsid w:val="00B84945"/>
    <w:rsid w:val="00B85B5B"/>
    <w:rsid w:val="00B8605B"/>
    <w:rsid w:val="00B864C0"/>
    <w:rsid w:val="00B87197"/>
    <w:rsid w:val="00B8743B"/>
    <w:rsid w:val="00B90E67"/>
    <w:rsid w:val="00B90F50"/>
    <w:rsid w:val="00B91A46"/>
    <w:rsid w:val="00B92014"/>
    <w:rsid w:val="00B92019"/>
    <w:rsid w:val="00B9291F"/>
    <w:rsid w:val="00B92D48"/>
    <w:rsid w:val="00B92F2D"/>
    <w:rsid w:val="00B931E5"/>
    <w:rsid w:val="00B93C35"/>
    <w:rsid w:val="00B94FAB"/>
    <w:rsid w:val="00B958C3"/>
    <w:rsid w:val="00B9618A"/>
    <w:rsid w:val="00B96639"/>
    <w:rsid w:val="00B9676B"/>
    <w:rsid w:val="00B969B1"/>
    <w:rsid w:val="00B96EE4"/>
    <w:rsid w:val="00B97AEA"/>
    <w:rsid w:val="00BA0711"/>
    <w:rsid w:val="00BA0BBE"/>
    <w:rsid w:val="00BA0FC9"/>
    <w:rsid w:val="00BA1483"/>
    <w:rsid w:val="00BA1795"/>
    <w:rsid w:val="00BA2FE9"/>
    <w:rsid w:val="00BA309E"/>
    <w:rsid w:val="00BA31C0"/>
    <w:rsid w:val="00BA40DA"/>
    <w:rsid w:val="00BA4196"/>
    <w:rsid w:val="00BA4592"/>
    <w:rsid w:val="00BA4704"/>
    <w:rsid w:val="00BA4F83"/>
    <w:rsid w:val="00BA6CB2"/>
    <w:rsid w:val="00BA6D08"/>
    <w:rsid w:val="00BA6D48"/>
    <w:rsid w:val="00BB0F35"/>
    <w:rsid w:val="00BB1339"/>
    <w:rsid w:val="00BB1800"/>
    <w:rsid w:val="00BB2369"/>
    <w:rsid w:val="00BB4B3E"/>
    <w:rsid w:val="00BB4C03"/>
    <w:rsid w:val="00BB57AE"/>
    <w:rsid w:val="00BB6DA4"/>
    <w:rsid w:val="00BB7A31"/>
    <w:rsid w:val="00BB7BA3"/>
    <w:rsid w:val="00BC09E9"/>
    <w:rsid w:val="00BC0EA6"/>
    <w:rsid w:val="00BC1AAD"/>
    <w:rsid w:val="00BC258C"/>
    <w:rsid w:val="00BC2618"/>
    <w:rsid w:val="00BC2ABD"/>
    <w:rsid w:val="00BC38F2"/>
    <w:rsid w:val="00BC3C10"/>
    <w:rsid w:val="00BC467C"/>
    <w:rsid w:val="00BC5892"/>
    <w:rsid w:val="00BC5B2D"/>
    <w:rsid w:val="00BC69ED"/>
    <w:rsid w:val="00BC6A56"/>
    <w:rsid w:val="00BC766D"/>
    <w:rsid w:val="00BD0376"/>
    <w:rsid w:val="00BD0D08"/>
    <w:rsid w:val="00BD1309"/>
    <w:rsid w:val="00BD1341"/>
    <w:rsid w:val="00BD14A7"/>
    <w:rsid w:val="00BD2EF8"/>
    <w:rsid w:val="00BD3676"/>
    <w:rsid w:val="00BD3FAE"/>
    <w:rsid w:val="00BD5377"/>
    <w:rsid w:val="00BD69F3"/>
    <w:rsid w:val="00BD71B8"/>
    <w:rsid w:val="00BD7425"/>
    <w:rsid w:val="00BDA019"/>
    <w:rsid w:val="00BE00A9"/>
    <w:rsid w:val="00BE0D6A"/>
    <w:rsid w:val="00BE10EA"/>
    <w:rsid w:val="00BE1619"/>
    <w:rsid w:val="00BE1704"/>
    <w:rsid w:val="00BE1A23"/>
    <w:rsid w:val="00BE1E61"/>
    <w:rsid w:val="00BE2227"/>
    <w:rsid w:val="00BE3002"/>
    <w:rsid w:val="00BE4AE9"/>
    <w:rsid w:val="00BE4F7F"/>
    <w:rsid w:val="00BE5686"/>
    <w:rsid w:val="00BE72F4"/>
    <w:rsid w:val="00BF02FD"/>
    <w:rsid w:val="00BF1306"/>
    <w:rsid w:val="00BF386C"/>
    <w:rsid w:val="00BF4BFA"/>
    <w:rsid w:val="00BF5412"/>
    <w:rsid w:val="00BF5922"/>
    <w:rsid w:val="00BF6B3A"/>
    <w:rsid w:val="00BF99A7"/>
    <w:rsid w:val="00C0004C"/>
    <w:rsid w:val="00C01FC4"/>
    <w:rsid w:val="00C02134"/>
    <w:rsid w:val="00C02327"/>
    <w:rsid w:val="00C0298A"/>
    <w:rsid w:val="00C02A5F"/>
    <w:rsid w:val="00C05725"/>
    <w:rsid w:val="00C05CFB"/>
    <w:rsid w:val="00C077D5"/>
    <w:rsid w:val="00C07C3A"/>
    <w:rsid w:val="00C07C57"/>
    <w:rsid w:val="00C07E74"/>
    <w:rsid w:val="00C104B1"/>
    <w:rsid w:val="00C10E0B"/>
    <w:rsid w:val="00C1134B"/>
    <w:rsid w:val="00C11C58"/>
    <w:rsid w:val="00C11E68"/>
    <w:rsid w:val="00C12EA8"/>
    <w:rsid w:val="00C13013"/>
    <w:rsid w:val="00C13113"/>
    <w:rsid w:val="00C1348E"/>
    <w:rsid w:val="00C13A4A"/>
    <w:rsid w:val="00C1566B"/>
    <w:rsid w:val="00C17FDE"/>
    <w:rsid w:val="00C21249"/>
    <w:rsid w:val="00C221E9"/>
    <w:rsid w:val="00C2306C"/>
    <w:rsid w:val="00C23895"/>
    <w:rsid w:val="00C253AC"/>
    <w:rsid w:val="00C26516"/>
    <w:rsid w:val="00C26FB6"/>
    <w:rsid w:val="00C300EF"/>
    <w:rsid w:val="00C30177"/>
    <w:rsid w:val="00C30BBC"/>
    <w:rsid w:val="00C3104A"/>
    <w:rsid w:val="00C31245"/>
    <w:rsid w:val="00C31E70"/>
    <w:rsid w:val="00C32364"/>
    <w:rsid w:val="00C3251D"/>
    <w:rsid w:val="00C32C8A"/>
    <w:rsid w:val="00C32D1E"/>
    <w:rsid w:val="00C33088"/>
    <w:rsid w:val="00C3466C"/>
    <w:rsid w:val="00C35049"/>
    <w:rsid w:val="00C3570C"/>
    <w:rsid w:val="00C36791"/>
    <w:rsid w:val="00C379CD"/>
    <w:rsid w:val="00C4268B"/>
    <w:rsid w:val="00C43D17"/>
    <w:rsid w:val="00C44D8C"/>
    <w:rsid w:val="00C45512"/>
    <w:rsid w:val="00C463D7"/>
    <w:rsid w:val="00C46EB4"/>
    <w:rsid w:val="00C4702B"/>
    <w:rsid w:val="00C50926"/>
    <w:rsid w:val="00C51479"/>
    <w:rsid w:val="00C5180F"/>
    <w:rsid w:val="00C5221D"/>
    <w:rsid w:val="00C52B7C"/>
    <w:rsid w:val="00C552DA"/>
    <w:rsid w:val="00C5532C"/>
    <w:rsid w:val="00C553CC"/>
    <w:rsid w:val="00C55DD4"/>
    <w:rsid w:val="00C55F9A"/>
    <w:rsid w:val="00C561CD"/>
    <w:rsid w:val="00C562B9"/>
    <w:rsid w:val="00C573BA"/>
    <w:rsid w:val="00C60548"/>
    <w:rsid w:val="00C616CC"/>
    <w:rsid w:val="00C61CDA"/>
    <w:rsid w:val="00C6384C"/>
    <w:rsid w:val="00C639DA"/>
    <w:rsid w:val="00C63B02"/>
    <w:rsid w:val="00C63F60"/>
    <w:rsid w:val="00C64B2F"/>
    <w:rsid w:val="00C6568A"/>
    <w:rsid w:val="00C658AA"/>
    <w:rsid w:val="00C6665D"/>
    <w:rsid w:val="00C668C6"/>
    <w:rsid w:val="00C66963"/>
    <w:rsid w:val="00C708F5"/>
    <w:rsid w:val="00C72583"/>
    <w:rsid w:val="00C72826"/>
    <w:rsid w:val="00C74069"/>
    <w:rsid w:val="00C74B34"/>
    <w:rsid w:val="00C77059"/>
    <w:rsid w:val="00C774C0"/>
    <w:rsid w:val="00C80447"/>
    <w:rsid w:val="00C81BF4"/>
    <w:rsid w:val="00C8231E"/>
    <w:rsid w:val="00C832DF"/>
    <w:rsid w:val="00C838FE"/>
    <w:rsid w:val="00C83B48"/>
    <w:rsid w:val="00C840E6"/>
    <w:rsid w:val="00C840E7"/>
    <w:rsid w:val="00C8477F"/>
    <w:rsid w:val="00C85336"/>
    <w:rsid w:val="00C86AA6"/>
    <w:rsid w:val="00C8753D"/>
    <w:rsid w:val="00C87650"/>
    <w:rsid w:val="00C8784B"/>
    <w:rsid w:val="00C87B7C"/>
    <w:rsid w:val="00C90623"/>
    <w:rsid w:val="00C9153F"/>
    <w:rsid w:val="00C919BC"/>
    <w:rsid w:val="00C9203B"/>
    <w:rsid w:val="00C93451"/>
    <w:rsid w:val="00C93EAE"/>
    <w:rsid w:val="00C951AB"/>
    <w:rsid w:val="00C976A9"/>
    <w:rsid w:val="00C97A41"/>
    <w:rsid w:val="00C97B32"/>
    <w:rsid w:val="00C9C02B"/>
    <w:rsid w:val="00CA00E9"/>
    <w:rsid w:val="00CA07AD"/>
    <w:rsid w:val="00CA1CE0"/>
    <w:rsid w:val="00CA2593"/>
    <w:rsid w:val="00CA2ECD"/>
    <w:rsid w:val="00CA3239"/>
    <w:rsid w:val="00CA38CE"/>
    <w:rsid w:val="00CA3987"/>
    <w:rsid w:val="00CA4030"/>
    <w:rsid w:val="00CA405E"/>
    <w:rsid w:val="00CA4B40"/>
    <w:rsid w:val="00CA5B0A"/>
    <w:rsid w:val="00CA62C0"/>
    <w:rsid w:val="00CA64C8"/>
    <w:rsid w:val="00CB0163"/>
    <w:rsid w:val="00CB19E9"/>
    <w:rsid w:val="00CB1DB0"/>
    <w:rsid w:val="00CB315F"/>
    <w:rsid w:val="00CB650A"/>
    <w:rsid w:val="00CB78CA"/>
    <w:rsid w:val="00CB7AE4"/>
    <w:rsid w:val="00CB7CE8"/>
    <w:rsid w:val="00CB7DC4"/>
    <w:rsid w:val="00CC1C8F"/>
    <w:rsid w:val="00CC2C51"/>
    <w:rsid w:val="00CC2E10"/>
    <w:rsid w:val="00CC2EF4"/>
    <w:rsid w:val="00CC3425"/>
    <w:rsid w:val="00CC404F"/>
    <w:rsid w:val="00CC47F8"/>
    <w:rsid w:val="00CC4C55"/>
    <w:rsid w:val="00CC4F89"/>
    <w:rsid w:val="00CC5F79"/>
    <w:rsid w:val="00CC66F2"/>
    <w:rsid w:val="00CC6CDC"/>
    <w:rsid w:val="00CC6E4E"/>
    <w:rsid w:val="00CC7BC5"/>
    <w:rsid w:val="00CC7FBF"/>
    <w:rsid w:val="00CD08AB"/>
    <w:rsid w:val="00CD1950"/>
    <w:rsid w:val="00CD2D75"/>
    <w:rsid w:val="00CD4BBF"/>
    <w:rsid w:val="00CD53D6"/>
    <w:rsid w:val="00CD5706"/>
    <w:rsid w:val="00CD5B3E"/>
    <w:rsid w:val="00CD6D01"/>
    <w:rsid w:val="00CD7B6A"/>
    <w:rsid w:val="00CE0481"/>
    <w:rsid w:val="00CE230F"/>
    <w:rsid w:val="00CE25AD"/>
    <w:rsid w:val="00CE2F2B"/>
    <w:rsid w:val="00CE302E"/>
    <w:rsid w:val="00CE3680"/>
    <w:rsid w:val="00CE4AAB"/>
    <w:rsid w:val="00CE5638"/>
    <w:rsid w:val="00CE63F3"/>
    <w:rsid w:val="00CE6FD4"/>
    <w:rsid w:val="00CE7DE0"/>
    <w:rsid w:val="00CF059A"/>
    <w:rsid w:val="00CF062C"/>
    <w:rsid w:val="00CF0965"/>
    <w:rsid w:val="00CF198B"/>
    <w:rsid w:val="00CF2613"/>
    <w:rsid w:val="00CF2B9C"/>
    <w:rsid w:val="00CF4443"/>
    <w:rsid w:val="00CF6A09"/>
    <w:rsid w:val="00CF70EC"/>
    <w:rsid w:val="00CFEC88"/>
    <w:rsid w:val="00D00A4B"/>
    <w:rsid w:val="00D01693"/>
    <w:rsid w:val="00D01F43"/>
    <w:rsid w:val="00D02509"/>
    <w:rsid w:val="00D02AB2"/>
    <w:rsid w:val="00D02C59"/>
    <w:rsid w:val="00D031C4"/>
    <w:rsid w:val="00D035A4"/>
    <w:rsid w:val="00D036C4"/>
    <w:rsid w:val="00D03750"/>
    <w:rsid w:val="00D03CD9"/>
    <w:rsid w:val="00D04549"/>
    <w:rsid w:val="00D046B8"/>
    <w:rsid w:val="00D050D5"/>
    <w:rsid w:val="00D0579C"/>
    <w:rsid w:val="00D05A68"/>
    <w:rsid w:val="00D07C2D"/>
    <w:rsid w:val="00D11F73"/>
    <w:rsid w:val="00D14B8A"/>
    <w:rsid w:val="00D15230"/>
    <w:rsid w:val="00D1724B"/>
    <w:rsid w:val="00D17C38"/>
    <w:rsid w:val="00D20417"/>
    <w:rsid w:val="00D20D2E"/>
    <w:rsid w:val="00D20D4C"/>
    <w:rsid w:val="00D2102A"/>
    <w:rsid w:val="00D229D7"/>
    <w:rsid w:val="00D22C5F"/>
    <w:rsid w:val="00D22FE6"/>
    <w:rsid w:val="00D23009"/>
    <w:rsid w:val="00D2327F"/>
    <w:rsid w:val="00D23645"/>
    <w:rsid w:val="00D24E85"/>
    <w:rsid w:val="00D25053"/>
    <w:rsid w:val="00D2689F"/>
    <w:rsid w:val="00D3150F"/>
    <w:rsid w:val="00D317DA"/>
    <w:rsid w:val="00D31A28"/>
    <w:rsid w:val="00D31D99"/>
    <w:rsid w:val="00D330D8"/>
    <w:rsid w:val="00D3316C"/>
    <w:rsid w:val="00D34CD3"/>
    <w:rsid w:val="00D34E79"/>
    <w:rsid w:val="00D34F92"/>
    <w:rsid w:val="00D35A2D"/>
    <w:rsid w:val="00D35DD6"/>
    <w:rsid w:val="00D35F72"/>
    <w:rsid w:val="00D3623E"/>
    <w:rsid w:val="00D408B2"/>
    <w:rsid w:val="00D41537"/>
    <w:rsid w:val="00D4284B"/>
    <w:rsid w:val="00D4397A"/>
    <w:rsid w:val="00D4430B"/>
    <w:rsid w:val="00D4478C"/>
    <w:rsid w:val="00D449FA"/>
    <w:rsid w:val="00D45D60"/>
    <w:rsid w:val="00D4618E"/>
    <w:rsid w:val="00D46748"/>
    <w:rsid w:val="00D47051"/>
    <w:rsid w:val="00D477F1"/>
    <w:rsid w:val="00D479EB"/>
    <w:rsid w:val="00D47B05"/>
    <w:rsid w:val="00D51CB7"/>
    <w:rsid w:val="00D51D47"/>
    <w:rsid w:val="00D52EB8"/>
    <w:rsid w:val="00D53A0E"/>
    <w:rsid w:val="00D53DCA"/>
    <w:rsid w:val="00D563DF"/>
    <w:rsid w:val="00D57C54"/>
    <w:rsid w:val="00D57CB2"/>
    <w:rsid w:val="00D6058F"/>
    <w:rsid w:val="00D61543"/>
    <w:rsid w:val="00D6184E"/>
    <w:rsid w:val="00D6198A"/>
    <w:rsid w:val="00D61E88"/>
    <w:rsid w:val="00D625FF"/>
    <w:rsid w:val="00D62828"/>
    <w:rsid w:val="00D6308D"/>
    <w:rsid w:val="00D63188"/>
    <w:rsid w:val="00D63F43"/>
    <w:rsid w:val="00D6434B"/>
    <w:rsid w:val="00D64807"/>
    <w:rsid w:val="00D65E26"/>
    <w:rsid w:val="00D6642B"/>
    <w:rsid w:val="00D66EA1"/>
    <w:rsid w:val="00D67692"/>
    <w:rsid w:val="00D6798A"/>
    <w:rsid w:val="00D67B59"/>
    <w:rsid w:val="00D706D8"/>
    <w:rsid w:val="00D71321"/>
    <w:rsid w:val="00D71DAF"/>
    <w:rsid w:val="00D7242F"/>
    <w:rsid w:val="00D728E3"/>
    <w:rsid w:val="00D72C16"/>
    <w:rsid w:val="00D74A57"/>
    <w:rsid w:val="00D75971"/>
    <w:rsid w:val="00D76427"/>
    <w:rsid w:val="00D764BD"/>
    <w:rsid w:val="00D76B75"/>
    <w:rsid w:val="00D76BD7"/>
    <w:rsid w:val="00D772B4"/>
    <w:rsid w:val="00D80433"/>
    <w:rsid w:val="00D80C70"/>
    <w:rsid w:val="00D82249"/>
    <w:rsid w:val="00D850AB"/>
    <w:rsid w:val="00D86B49"/>
    <w:rsid w:val="00D8725F"/>
    <w:rsid w:val="00D9033F"/>
    <w:rsid w:val="00D90716"/>
    <w:rsid w:val="00D9081C"/>
    <w:rsid w:val="00D9390D"/>
    <w:rsid w:val="00D939AF"/>
    <w:rsid w:val="00D94F2F"/>
    <w:rsid w:val="00D961AA"/>
    <w:rsid w:val="00D966CD"/>
    <w:rsid w:val="00DA13C8"/>
    <w:rsid w:val="00DA1BFC"/>
    <w:rsid w:val="00DA22F4"/>
    <w:rsid w:val="00DA27BC"/>
    <w:rsid w:val="00DA30AE"/>
    <w:rsid w:val="00DA347F"/>
    <w:rsid w:val="00DA4D41"/>
    <w:rsid w:val="00DA5131"/>
    <w:rsid w:val="00DA5340"/>
    <w:rsid w:val="00DA55C2"/>
    <w:rsid w:val="00DB177D"/>
    <w:rsid w:val="00DB419B"/>
    <w:rsid w:val="00DB4A09"/>
    <w:rsid w:val="00DB58F3"/>
    <w:rsid w:val="00DB7072"/>
    <w:rsid w:val="00DB7705"/>
    <w:rsid w:val="00DB7D10"/>
    <w:rsid w:val="00DB7D53"/>
    <w:rsid w:val="00DC1267"/>
    <w:rsid w:val="00DC1971"/>
    <w:rsid w:val="00DC29B5"/>
    <w:rsid w:val="00DC2A7F"/>
    <w:rsid w:val="00DC39CA"/>
    <w:rsid w:val="00DC3FC3"/>
    <w:rsid w:val="00DC439E"/>
    <w:rsid w:val="00DC5CC0"/>
    <w:rsid w:val="00DC678A"/>
    <w:rsid w:val="00DC6F88"/>
    <w:rsid w:val="00DC7BDE"/>
    <w:rsid w:val="00DC7D26"/>
    <w:rsid w:val="00DC7E13"/>
    <w:rsid w:val="00DD0C8A"/>
    <w:rsid w:val="00DD21C9"/>
    <w:rsid w:val="00DD26D2"/>
    <w:rsid w:val="00DD2A74"/>
    <w:rsid w:val="00DD2CF8"/>
    <w:rsid w:val="00DD3A92"/>
    <w:rsid w:val="00DD440A"/>
    <w:rsid w:val="00DD5BFA"/>
    <w:rsid w:val="00DD6B96"/>
    <w:rsid w:val="00DD7782"/>
    <w:rsid w:val="00DE0006"/>
    <w:rsid w:val="00DE131D"/>
    <w:rsid w:val="00DE1336"/>
    <w:rsid w:val="00DE1F8B"/>
    <w:rsid w:val="00DE2BF0"/>
    <w:rsid w:val="00DE444E"/>
    <w:rsid w:val="00DE465C"/>
    <w:rsid w:val="00DE499C"/>
    <w:rsid w:val="00DE49B0"/>
    <w:rsid w:val="00DE49EC"/>
    <w:rsid w:val="00DE59B8"/>
    <w:rsid w:val="00DE61B8"/>
    <w:rsid w:val="00DE6672"/>
    <w:rsid w:val="00DE6ACC"/>
    <w:rsid w:val="00DE6E9C"/>
    <w:rsid w:val="00DF1484"/>
    <w:rsid w:val="00DF1FC0"/>
    <w:rsid w:val="00DF23CF"/>
    <w:rsid w:val="00DF374A"/>
    <w:rsid w:val="00DF3E55"/>
    <w:rsid w:val="00DF3FAB"/>
    <w:rsid w:val="00DF407C"/>
    <w:rsid w:val="00DF5265"/>
    <w:rsid w:val="00DF59E0"/>
    <w:rsid w:val="00DF5A45"/>
    <w:rsid w:val="00DF5AF7"/>
    <w:rsid w:val="00DF5DB3"/>
    <w:rsid w:val="00DF5FF2"/>
    <w:rsid w:val="00DF768A"/>
    <w:rsid w:val="00DF7DDF"/>
    <w:rsid w:val="00E0060B"/>
    <w:rsid w:val="00E0248D"/>
    <w:rsid w:val="00E026A9"/>
    <w:rsid w:val="00E02994"/>
    <w:rsid w:val="00E0404B"/>
    <w:rsid w:val="00E058EB"/>
    <w:rsid w:val="00E05A8C"/>
    <w:rsid w:val="00E0738D"/>
    <w:rsid w:val="00E109DB"/>
    <w:rsid w:val="00E10DAD"/>
    <w:rsid w:val="00E12850"/>
    <w:rsid w:val="00E12985"/>
    <w:rsid w:val="00E12A41"/>
    <w:rsid w:val="00E13BEB"/>
    <w:rsid w:val="00E14283"/>
    <w:rsid w:val="00E14BD4"/>
    <w:rsid w:val="00E152F3"/>
    <w:rsid w:val="00E158BF"/>
    <w:rsid w:val="00E16ADC"/>
    <w:rsid w:val="00E16E91"/>
    <w:rsid w:val="00E20AB5"/>
    <w:rsid w:val="00E20CEF"/>
    <w:rsid w:val="00E222D6"/>
    <w:rsid w:val="00E225A8"/>
    <w:rsid w:val="00E23019"/>
    <w:rsid w:val="00E236B0"/>
    <w:rsid w:val="00E252D3"/>
    <w:rsid w:val="00E25E8C"/>
    <w:rsid w:val="00E2667F"/>
    <w:rsid w:val="00E27E0F"/>
    <w:rsid w:val="00E27EAE"/>
    <w:rsid w:val="00E316AB"/>
    <w:rsid w:val="00E32212"/>
    <w:rsid w:val="00E3363F"/>
    <w:rsid w:val="00E336BB"/>
    <w:rsid w:val="00E34CA1"/>
    <w:rsid w:val="00E36B7E"/>
    <w:rsid w:val="00E36D02"/>
    <w:rsid w:val="00E37B85"/>
    <w:rsid w:val="00E40516"/>
    <w:rsid w:val="00E410CC"/>
    <w:rsid w:val="00E42450"/>
    <w:rsid w:val="00E436C1"/>
    <w:rsid w:val="00E43934"/>
    <w:rsid w:val="00E4432A"/>
    <w:rsid w:val="00E443F4"/>
    <w:rsid w:val="00E463DA"/>
    <w:rsid w:val="00E4643F"/>
    <w:rsid w:val="00E4662A"/>
    <w:rsid w:val="00E46FCF"/>
    <w:rsid w:val="00E475C0"/>
    <w:rsid w:val="00E477D5"/>
    <w:rsid w:val="00E50127"/>
    <w:rsid w:val="00E5088A"/>
    <w:rsid w:val="00E51E1B"/>
    <w:rsid w:val="00E53656"/>
    <w:rsid w:val="00E53D92"/>
    <w:rsid w:val="00E54890"/>
    <w:rsid w:val="00E556E4"/>
    <w:rsid w:val="00E56D00"/>
    <w:rsid w:val="00E56EDD"/>
    <w:rsid w:val="00E5750A"/>
    <w:rsid w:val="00E6090F"/>
    <w:rsid w:val="00E60F75"/>
    <w:rsid w:val="00E6264A"/>
    <w:rsid w:val="00E64369"/>
    <w:rsid w:val="00E64C45"/>
    <w:rsid w:val="00E665BA"/>
    <w:rsid w:val="00E6721F"/>
    <w:rsid w:val="00E70E89"/>
    <w:rsid w:val="00E717A0"/>
    <w:rsid w:val="00E7192A"/>
    <w:rsid w:val="00E71F6B"/>
    <w:rsid w:val="00E7260F"/>
    <w:rsid w:val="00E72855"/>
    <w:rsid w:val="00E745EC"/>
    <w:rsid w:val="00E7546C"/>
    <w:rsid w:val="00E758DE"/>
    <w:rsid w:val="00E76462"/>
    <w:rsid w:val="00E76A65"/>
    <w:rsid w:val="00E7785F"/>
    <w:rsid w:val="00E80107"/>
    <w:rsid w:val="00E81582"/>
    <w:rsid w:val="00E81600"/>
    <w:rsid w:val="00E8213B"/>
    <w:rsid w:val="00E831A0"/>
    <w:rsid w:val="00E833D4"/>
    <w:rsid w:val="00E83703"/>
    <w:rsid w:val="00E83790"/>
    <w:rsid w:val="00E84EDD"/>
    <w:rsid w:val="00E85323"/>
    <w:rsid w:val="00E853A4"/>
    <w:rsid w:val="00E856F1"/>
    <w:rsid w:val="00E86137"/>
    <w:rsid w:val="00E878E6"/>
    <w:rsid w:val="00E87900"/>
    <w:rsid w:val="00E90980"/>
    <w:rsid w:val="00E91A57"/>
    <w:rsid w:val="00E923A5"/>
    <w:rsid w:val="00E92F24"/>
    <w:rsid w:val="00E938EF"/>
    <w:rsid w:val="00E93F02"/>
    <w:rsid w:val="00E9402F"/>
    <w:rsid w:val="00E95130"/>
    <w:rsid w:val="00E9603E"/>
    <w:rsid w:val="00E9662C"/>
    <w:rsid w:val="00E96A0B"/>
    <w:rsid w:val="00EA0063"/>
    <w:rsid w:val="00EA0642"/>
    <w:rsid w:val="00EA0915"/>
    <w:rsid w:val="00EA12D2"/>
    <w:rsid w:val="00EA1335"/>
    <w:rsid w:val="00EA1D58"/>
    <w:rsid w:val="00EA1ED7"/>
    <w:rsid w:val="00EA2B68"/>
    <w:rsid w:val="00EA31A7"/>
    <w:rsid w:val="00EA327A"/>
    <w:rsid w:val="00EA3961"/>
    <w:rsid w:val="00EA3D4F"/>
    <w:rsid w:val="00EA4499"/>
    <w:rsid w:val="00EA53D3"/>
    <w:rsid w:val="00EA6915"/>
    <w:rsid w:val="00EA6EA3"/>
    <w:rsid w:val="00EB0AED"/>
    <w:rsid w:val="00EB0D9B"/>
    <w:rsid w:val="00EB1378"/>
    <w:rsid w:val="00EB203E"/>
    <w:rsid w:val="00EB291A"/>
    <w:rsid w:val="00EB35FA"/>
    <w:rsid w:val="00EB37DB"/>
    <w:rsid w:val="00EB4AE7"/>
    <w:rsid w:val="00EB512F"/>
    <w:rsid w:val="00EB5297"/>
    <w:rsid w:val="00EB745D"/>
    <w:rsid w:val="00EB79A3"/>
    <w:rsid w:val="00EC0C1E"/>
    <w:rsid w:val="00EC1E67"/>
    <w:rsid w:val="00EC30B5"/>
    <w:rsid w:val="00EC36BD"/>
    <w:rsid w:val="00EC44DD"/>
    <w:rsid w:val="00EC47D6"/>
    <w:rsid w:val="00EC5226"/>
    <w:rsid w:val="00EC5A77"/>
    <w:rsid w:val="00EC5CE1"/>
    <w:rsid w:val="00EC5D0E"/>
    <w:rsid w:val="00EC6ED9"/>
    <w:rsid w:val="00EC7AC7"/>
    <w:rsid w:val="00ED03D0"/>
    <w:rsid w:val="00ED05A9"/>
    <w:rsid w:val="00ED139D"/>
    <w:rsid w:val="00ED1941"/>
    <w:rsid w:val="00ED1FA2"/>
    <w:rsid w:val="00ED295F"/>
    <w:rsid w:val="00ED342E"/>
    <w:rsid w:val="00ED4BA2"/>
    <w:rsid w:val="00ED5423"/>
    <w:rsid w:val="00ED5496"/>
    <w:rsid w:val="00ED5E8F"/>
    <w:rsid w:val="00ED6712"/>
    <w:rsid w:val="00ED7A0D"/>
    <w:rsid w:val="00EE0A7E"/>
    <w:rsid w:val="00EE1082"/>
    <w:rsid w:val="00EE20FC"/>
    <w:rsid w:val="00EE2C42"/>
    <w:rsid w:val="00EE4434"/>
    <w:rsid w:val="00EE4D9E"/>
    <w:rsid w:val="00EE5E11"/>
    <w:rsid w:val="00EE685A"/>
    <w:rsid w:val="00EE796D"/>
    <w:rsid w:val="00EF0C02"/>
    <w:rsid w:val="00EF140B"/>
    <w:rsid w:val="00EF1FB5"/>
    <w:rsid w:val="00EF33A8"/>
    <w:rsid w:val="00EF39BF"/>
    <w:rsid w:val="00EF50BA"/>
    <w:rsid w:val="00EF587D"/>
    <w:rsid w:val="00EF5962"/>
    <w:rsid w:val="00EF69D6"/>
    <w:rsid w:val="00EF6E69"/>
    <w:rsid w:val="00F030B1"/>
    <w:rsid w:val="00F033E9"/>
    <w:rsid w:val="00F035E3"/>
    <w:rsid w:val="00F03890"/>
    <w:rsid w:val="00F04A2C"/>
    <w:rsid w:val="00F04E97"/>
    <w:rsid w:val="00F05168"/>
    <w:rsid w:val="00F05522"/>
    <w:rsid w:val="00F05A6F"/>
    <w:rsid w:val="00F063F9"/>
    <w:rsid w:val="00F064A2"/>
    <w:rsid w:val="00F07742"/>
    <w:rsid w:val="00F078F4"/>
    <w:rsid w:val="00F07E05"/>
    <w:rsid w:val="00F1069C"/>
    <w:rsid w:val="00F10B6E"/>
    <w:rsid w:val="00F10FE3"/>
    <w:rsid w:val="00F12F33"/>
    <w:rsid w:val="00F1384A"/>
    <w:rsid w:val="00F141BD"/>
    <w:rsid w:val="00F1459A"/>
    <w:rsid w:val="00F14991"/>
    <w:rsid w:val="00F14D40"/>
    <w:rsid w:val="00F156EB"/>
    <w:rsid w:val="00F1613A"/>
    <w:rsid w:val="00F16324"/>
    <w:rsid w:val="00F1662B"/>
    <w:rsid w:val="00F16EE2"/>
    <w:rsid w:val="00F16F64"/>
    <w:rsid w:val="00F2076F"/>
    <w:rsid w:val="00F20E9F"/>
    <w:rsid w:val="00F22DC5"/>
    <w:rsid w:val="00F2313B"/>
    <w:rsid w:val="00F23B83"/>
    <w:rsid w:val="00F240D4"/>
    <w:rsid w:val="00F26DD7"/>
    <w:rsid w:val="00F3112D"/>
    <w:rsid w:val="00F31426"/>
    <w:rsid w:val="00F31E86"/>
    <w:rsid w:val="00F32A4C"/>
    <w:rsid w:val="00F33133"/>
    <w:rsid w:val="00F33D64"/>
    <w:rsid w:val="00F33FBE"/>
    <w:rsid w:val="00F354CF"/>
    <w:rsid w:val="00F35574"/>
    <w:rsid w:val="00F35BC3"/>
    <w:rsid w:val="00F360A0"/>
    <w:rsid w:val="00F4010D"/>
    <w:rsid w:val="00F40AF8"/>
    <w:rsid w:val="00F41D02"/>
    <w:rsid w:val="00F41D50"/>
    <w:rsid w:val="00F42AE4"/>
    <w:rsid w:val="00F4310C"/>
    <w:rsid w:val="00F4348B"/>
    <w:rsid w:val="00F44040"/>
    <w:rsid w:val="00F4468A"/>
    <w:rsid w:val="00F44695"/>
    <w:rsid w:val="00F449BC"/>
    <w:rsid w:val="00F44F15"/>
    <w:rsid w:val="00F45752"/>
    <w:rsid w:val="00F465FF"/>
    <w:rsid w:val="00F47F74"/>
    <w:rsid w:val="00F50D3E"/>
    <w:rsid w:val="00F51FD4"/>
    <w:rsid w:val="00F525B7"/>
    <w:rsid w:val="00F528D6"/>
    <w:rsid w:val="00F52D62"/>
    <w:rsid w:val="00F53581"/>
    <w:rsid w:val="00F53B53"/>
    <w:rsid w:val="00F5426D"/>
    <w:rsid w:val="00F546E9"/>
    <w:rsid w:val="00F55719"/>
    <w:rsid w:val="00F55CC3"/>
    <w:rsid w:val="00F55F2C"/>
    <w:rsid w:val="00F56CDD"/>
    <w:rsid w:val="00F56DF6"/>
    <w:rsid w:val="00F61C12"/>
    <w:rsid w:val="00F63069"/>
    <w:rsid w:val="00F63A88"/>
    <w:rsid w:val="00F64EDE"/>
    <w:rsid w:val="00F656F1"/>
    <w:rsid w:val="00F66750"/>
    <w:rsid w:val="00F67738"/>
    <w:rsid w:val="00F67988"/>
    <w:rsid w:val="00F702CE"/>
    <w:rsid w:val="00F705DC"/>
    <w:rsid w:val="00F70714"/>
    <w:rsid w:val="00F70E7E"/>
    <w:rsid w:val="00F71751"/>
    <w:rsid w:val="00F7295E"/>
    <w:rsid w:val="00F72D17"/>
    <w:rsid w:val="00F7327C"/>
    <w:rsid w:val="00F74089"/>
    <w:rsid w:val="00F7442C"/>
    <w:rsid w:val="00F75479"/>
    <w:rsid w:val="00F774D9"/>
    <w:rsid w:val="00F80469"/>
    <w:rsid w:val="00F81975"/>
    <w:rsid w:val="00F8231A"/>
    <w:rsid w:val="00F82494"/>
    <w:rsid w:val="00F8258A"/>
    <w:rsid w:val="00F834D6"/>
    <w:rsid w:val="00F83638"/>
    <w:rsid w:val="00F84926"/>
    <w:rsid w:val="00F84C52"/>
    <w:rsid w:val="00F85226"/>
    <w:rsid w:val="00F86664"/>
    <w:rsid w:val="00F86A02"/>
    <w:rsid w:val="00F86C4E"/>
    <w:rsid w:val="00F87C5D"/>
    <w:rsid w:val="00F904C0"/>
    <w:rsid w:val="00F90E54"/>
    <w:rsid w:val="00F9329B"/>
    <w:rsid w:val="00F93F16"/>
    <w:rsid w:val="00F94759"/>
    <w:rsid w:val="00F94994"/>
    <w:rsid w:val="00F976F1"/>
    <w:rsid w:val="00F97AEE"/>
    <w:rsid w:val="00F97D52"/>
    <w:rsid w:val="00FA09D4"/>
    <w:rsid w:val="00FA258F"/>
    <w:rsid w:val="00FA2F43"/>
    <w:rsid w:val="00FA45D3"/>
    <w:rsid w:val="00FA65AD"/>
    <w:rsid w:val="00FA72D5"/>
    <w:rsid w:val="00FA786B"/>
    <w:rsid w:val="00FA7D88"/>
    <w:rsid w:val="00FB027D"/>
    <w:rsid w:val="00FB10E9"/>
    <w:rsid w:val="00FB19D2"/>
    <w:rsid w:val="00FB1D6B"/>
    <w:rsid w:val="00FB39CB"/>
    <w:rsid w:val="00FB40B8"/>
    <w:rsid w:val="00FB4106"/>
    <w:rsid w:val="00FB4B83"/>
    <w:rsid w:val="00FB57FA"/>
    <w:rsid w:val="00FB62CF"/>
    <w:rsid w:val="00FB7032"/>
    <w:rsid w:val="00FB72E0"/>
    <w:rsid w:val="00FB7B45"/>
    <w:rsid w:val="00FC1FC9"/>
    <w:rsid w:val="00FC2A6B"/>
    <w:rsid w:val="00FC2D71"/>
    <w:rsid w:val="00FC2E39"/>
    <w:rsid w:val="00FC3EEB"/>
    <w:rsid w:val="00FC4889"/>
    <w:rsid w:val="00FC5F94"/>
    <w:rsid w:val="00FC66E0"/>
    <w:rsid w:val="00FD03DA"/>
    <w:rsid w:val="00FD0810"/>
    <w:rsid w:val="00FD147E"/>
    <w:rsid w:val="00FD2C3B"/>
    <w:rsid w:val="00FD42DF"/>
    <w:rsid w:val="00FD5468"/>
    <w:rsid w:val="00FD5648"/>
    <w:rsid w:val="00FD6084"/>
    <w:rsid w:val="00FD6DE9"/>
    <w:rsid w:val="00FD6E01"/>
    <w:rsid w:val="00FD7164"/>
    <w:rsid w:val="00FD7504"/>
    <w:rsid w:val="00FD775E"/>
    <w:rsid w:val="00FD7F19"/>
    <w:rsid w:val="00FD8484"/>
    <w:rsid w:val="00FE015F"/>
    <w:rsid w:val="00FE059E"/>
    <w:rsid w:val="00FE0B6F"/>
    <w:rsid w:val="00FE2118"/>
    <w:rsid w:val="00FE24A0"/>
    <w:rsid w:val="00FE2A3B"/>
    <w:rsid w:val="00FE3E25"/>
    <w:rsid w:val="00FE3F75"/>
    <w:rsid w:val="00FE405E"/>
    <w:rsid w:val="00FE4839"/>
    <w:rsid w:val="00FE498F"/>
    <w:rsid w:val="00FE67D8"/>
    <w:rsid w:val="00FE7A82"/>
    <w:rsid w:val="00FE9791"/>
    <w:rsid w:val="00FF1096"/>
    <w:rsid w:val="00FF2531"/>
    <w:rsid w:val="00FF368B"/>
    <w:rsid w:val="00FF3A73"/>
    <w:rsid w:val="00FF3B2A"/>
    <w:rsid w:val="00FF3C10"/>
    <w:rsid w:val="00FF4EBF"/>
    <w:rsid w:val="00FF662F"/>
    <w:rsid w:val="00FF72D1"/>
    <w:rsid w:val="00FF73C4"/>
    <w:rsid w:val="0106451E"/>
    <w:rsid w:val="010E4CF2"/>
    <w:rsid w:val="010EFC7F"/>
    <w:rsid w:val="010F47E3"/>
    <w:rsid w:val="010FD0DA"/>
    <w:rsid w:val="01153C3A"/>
    <w:rsid w:val="0115AB52"/>
    <w:rsid w:val="011A3B45"/>
    <w:rsid w:val="011FDC21"/>
    <w:rsid w:val="012358BA"/>
    <w:rsid w:val="01247FC8"/>
    <w:rsid w:val="01260DC8"/>
    <w:rsid w:val="01293713"/>
    <w:rsid w:val="01304C16"/>
    <w:rsid w:val="0134C7EE"/>
    <w:rsid w:val="01385E88"/>
    <w:rsid w:val="013915ED"/>
    <w:rsid w:val="0139D97A"/>
    <w:rsid w:val="013DD97A"/>
    <w:rsid w:val="013E6521"/>
    <w:rsid w:val="014395AF"/>
    <w:rsid w:val="01449CAE"/>
    <w:rsid w:val="01463052"/>
    <w:rsid w:val="0146547E"/>
    <w:rsid w:val="015C5028"/>
    <w:rsid w:val="015F4998"/>
    <w:rsid w:val="0164C630"/>
    <w:rsid w:val="0171BAB3"/>
    <w:rsid w:val="0172B2CE"/>
    <w:rsid w:val="01791B60"/>
    <w:rsid w:val="017BF1A4"/>
    <w:rsid w:val="018249E7"/>
    <w:rsid w:val="018272D4"/>
    <w:rsid w:val="018298E8"/>
    <w:rsid w:val="018B3D0D"/>
    <w:rsid w:val="018FE4FB"/>
    <w:rsid w:val="01A25D37"/>
    <w:rsid w:val="01A4C5ED"/>
    <w:rsid w:val="01A9EB5B"/>
    <w:rsid w:val="01B6997A"/>
    <w:rsid w:val="01BD7F62"/>
    <w:rsid w:val="01C8990F"/>
    <w:rsid w:val="01CA5205"/>
    <w:rsid w:val="01CB547B"/>
    <w:rsid w:val="01CB85F5"/>
    <w:rsid w:val="01D6D325"/>
    <w:rsid w:val="01D76C1E"/>
    <w:rsid w:val="01E47B59"/>
    <w:rsid w:val="01E71592"/>
    <w:rsid w:val="01EA6AEC"/>
    <w:rsid w:val="01EB633D"/>
    <w:rsid w:val="01EE2667"/>
    <w:rsid w:val="01EEFE60"/>
    <w:rsid w:val="01F0E4D5"/>
    <w:rsid w:val="01F18461"/>
    <w:rsid w:val="01F6EEE6"/>
    <w:rsid w:val="01F77B42"/>
    <w:rsid w:val="01FAEE5A"/>
    <w:rsid w:val="02094821"/>
    <w:rsid w:val="0213199C"/>
    <w:rsid w:val="021BC24B"/>
    <w:rsid w:val="021BC99E"/>
    <w:rsid w:val="021E3176"/>
    <w:rsid w:val="0225CD29"/>
    <w:rsid w:val="02278460"/>
    <w:rsid w:val="022D9455"/>
    <w:rsid w:val="02304915"/>
    <w:rsid w:val="02328AF6"/>
    <w:rsid w:val="023817BB"/>
    <w:rsid w:val="023AEE7C"/>
    <w:rsid w:val="023F2CF5"/>
    <w:rsid w:val="02405329"/>
    <w:rsid w:val="024171B8"/>
    <w:rsid w:val="0244C7E9"/>
    <w:rsid w:val="0247DBB9"/>
    <w:rsid w:val="0249A66A"/>
    <w:rsid w:val="024AC0B5"/>
    <w:rsid w:val="024D0AB3"/>
    <w:rsid w:val="0266CD0B"/>
    <w:rsid w:val="027059C7"/>
    <w:rsid w:val="02756AB2"/>
    <w:rsid w:val="0276870F"/>
    <w:rsid w:val="027E1641"/>
    <w:rsid w:val="027F251F"/>
    <w:rsid w:val="02967B58"/>
    <w:rsid w:val="02969D18"/>
    <w:rsid w:val="029B064C"/>
    <w:rsid w:val="029E00AE"/>
    <w:rsid w:val="02A68B55"/>
    <w:rsid w:val="02AB4252"/>
    <w:rsid w:val="02B0CBAB"/>
    <w:rsid w:val="02B0E978"/>
    <w:rsid w:val="02B14A07"/>
    <w:rsid w:val="02B22540"/>
    <w:rsid w:val="02B6C503"/>
    <w:rsid w:val="02B86A8F"/>
    <w:rsid w:val="02B944F5"/>
    <w:rsid w:val="02C435B4"/>
    <w:rsid w:val="02C8F8A1"/>
    <w:rsid w:val="02CCA717"/>
    <w:rsid w:val="02D026F7"/>
    <w:rsid w:val="02D459CB"/>
    <w:rsid w:val="02D479E4"/>
    <w:rsid w:val="02D754A1"/>
    <w:rsid w:val="02DAF87F"/>
    <w:rsid w:val="02DB4C9A"/>
    <w:rsid w:val="02DC246F"/>
    <w:rsid w:val="02E1E2D6"/>
    <w:rsid w:val="02E2A57F"/>
    <w:rsid w:val="02E2D4D1"/>
    <w:rsid w:val="02E42331"/>
    <w:rsid w:val="02E7E2FA"/>
    <w:rsid w:val="02E84123"/>
    <w:rsid w:val="02EA1534"/>
    <w:rsid w:val="02EA85BC"/>
    <w:rsid w:val="02EC2BDB"/>
    <w:rsid w:val="02F1C683"/>
    <w:rsid w:val="02F73579"/>
    <w:rsid w:val="02FACD03"/>
    <w:rsid w:val="02FC7CF7"/>
    <w:rsid w:val="02FF8CC7"/>
    <w:rsid w:val="0300470A"/>
    <w:rsid w:val="0311E65B"/>
    <w:rsid w:val="0313E962"/>
    <w:rsid w:val="03171105"/>
    <w:rsid w:val="031A2DE4"/>
    <w:rsid w:val="031EAC96"/>
    <w:rsid w:val="0329E953"/>
    <w:rsid w:val="0334FF35"/>
    <w:rsid w:val="0338029A"/>
    <w:rsid w:val="0339E1F8"/>
    <w:rsid w:val="033C339F"/>
    <w:rsid w:val="033D959D"/>
    <w:rsid w:val="03516DC7"/>
    <w:rsid w:val="0364848A"/>
    <w:rsid w:val="036F8683"/>
    <w:rsid w:val="0374B68B"/>
    <w:rsid w:val="0375629E"/>
    <w:rsid w:val="037B7D9A"/>
    <w:rsid w:val="037D7252"/>
    <w:rsid w:val="037FFE00"/>
    <w:rsid w:val="03814646"/>
    <w:rsid w:val="0387025D"/>
    <w:rsid w:val="038713AC"/>
    <w:rsid w:val="038DC54C"/>
    <w:rsid w:val="038F0789"/>
    <w:rsid w:val="0390632E"/>
    <w:rsid w:val="0396FB33"/>
    <w:rsid w:val="039AE95C"/>
    <w:rsid w:val="039F3C1E"/>
    <w:rsid w:val="03A086C2"/>
    <w:rsid w:val="03A2AB4C"/>
    <w:rsid w:val="03AE18BB"/>
    <w:rsid w:val="03AE543C"/>
    <w:rsid w:val="03B82B21"/>
    <w:rsid w:val="03BE8B56"/>
    <w:rsid w:val="03C36C14"/>
    <w:rsid w:val="03C63D33"/>
    <w:rsid w:val="03CCF7F7"/>
    <w:rsid w:val="03DD8183"/>
    <w:rsid w:val="03DE25EE"/>
    <w:rsid w:val="03E3DEC2"/>
    <w:rsid w:val="03E740D8"/>
    <w:rsid w:val="03E74261"/>
    <w:rsid w:val="03E93785"/>
    <w:rsid w:val="03EC4187"/>
    <w:rsid w:val="03F4D7D1"/>
    <w:rsid w:val="03FC4529"/>
    <w:rsid w:val="03FEAF37"/>
    <w:rsid w:val="03FFAE76"/>
    <w:rsid w:val="04011D65"/>
    <w:rsid w:val="04087961"/>
    <w:rsid w:val="0408A7A6"/>
    <w:rsid w:val="040C0457"/>
    <w:rsid w:val="040CF451"/>
    <w:rsid w:val="0416E46B"/>
    <w:rsid w:val="0419C848"/>
    <w:rsid w:val="04210F5B"/>
    <w:rsid w:val="04213741"/>
    <w:rsid w:val="0424C025"/>
    <w:rsid w:val="04282D15"/>
    <w:rsid w:val="042C15DE"/>
    <w:rsid w:val="042D0AC7"/>
    <w:rsid w:val="043068F7"/>
    <w:rsid w:val="043CAB83"/>
    <w:rsid w:val="0445DDF1"/>
    <w:rsid w:val="0446C1C1"/>
    <w:rsid w:val="04641EA9"/>
    <w:rsid w:val="0466F93F"/>
    <w:rsid w:val="04670616"/>
    <w:rsid w:val="0467C6B1"/>
    <w:rsid w:val="0468E081"/>
    <w:rsid w:val="046ACA0E"/>
    <w:rsid w:val="046CAE15"/>
    <w:rsid w:val="046D8813"/>
    <w:rsid w:val="04757BDF"/>
    <w:rsid w:val="047716F0"/>
    <w:rsid w:val="0479C27E"/>
    <w:rsid w:val="048A96C9"/>
    <w:rsid w:val="048C8871"/>
    <w:rsid w:val="048DBBFD"/>
    <w:rsid w:val="048EFA8D"/>
    <w:rsid w:val="0493F527"/>
    <w:rsid w:val="0495F85A"/>
    <w:rsid w:val="049FB265"/>
    <w:rsid w:val="04A9F32D"/>
    <w:rsid w:val="04AA14D9"/>
    <w:rsid w:val="04B080E9"/>
    <w:rsid w:val="04B519DE"/>
    <w:rsid w:val="04B777BC"/>
    <w:rsid w:val="04B7D10E"/>
    <w:rsid w:val="04BD948F"/>
    <w:rsid w:val="04BEB64E"/>
    <w:rsid w:val="04BEEB9D"/>
    <w:rsid w:val="04C18702"/>
    <w:rsid w:val="04C19951"/>
    <w:rsid w:val="04C87C20"/>
    <w:rsid w:val="04CF97E9"/>
    <w:rsid w:val="04D52DBA"/>
    <w:rsid w:val="04DD3AC0"/>
    <w:rsid w:val="04E0FDBD"/>
    <w:rsid w:val="04E38499"/>
    <w:rsid w:val="04E8A7CD"/>
    <w:rsid w:val="04F46685"/>
    <w:rsid w:val="04F4D2F9"/>
    <w:rsid w:val="04F59DAC"/>
    <w:rsid w:val="04F5C508"/>
    <w:rsid w:val="04F6E668"/>
    <w:rsid w:val="04FBD24A"/>
    <w:rsid w:val="04FEC533"/>
    <w:rsid w:val="04FEE617"/>
    <w:rsid w:val="0506592A"/>
    <w:rsid w:val="0507A051"/>
    <w:rsid w:val="05158971"/>
    <w:rsid w:val="05166FDF"/>
    <w:rsid w:val="051A7A9C"/>
    <w:rsid w:val="052467B3"/>
    <w:rsid w:val="0525914A"/>
    <w:rsid w:val="052FE0C8"/>
    <w:rsid w:val="053BC84A"/>
    <w:rsid w:val="053D33F1"/>
    <w:rsid w:val="0543FE4C"/>
    <w:rsid w:val="05495BF8"/>
    <w:rsid w:val="054A3626"/>
    <w:rsid w:val="054E7FE7"/>
    <w:rsid w:val="054EA2CD"/>
    <w:rsid w:val="054F259C"/>
    <w:rsid w:val="055058E0"/>
    <w:rsid w:val="05515D48"/>
    <w:rsid w:val="055A82B5"/>
    <w:rsid w:val="05646906"/>
    <w:rsid w:val="056C7B3D"/>
    <w:rsid w:val="056D8E8D"/>
    <w:rsid w:val="057CC4CB"/>
    <w:rsid w:val="0585E15A"/>
    <w:rsid w:val="05865B44"/>
    <w:rsid w:val="058830AF"/>
    <w:rsid w:val="05885790"/>
    <w:rsid w:val="058C20B0"/>
    <w:rsid w:val="0594F42E"/>
    <w:rsid w:val="05963D40"/>
    <w:rsid w:val="059692B4"/>
    <w:rsid w:val="0596D618"/>
    <w:rsid w:val="05977EBC"/>
    <w:rsid w:val="059C75EF"/>
    <w:rsid w:val="05A1C80F"/>
    <w:rsid w:val="05AAF0BD"/>
    <w:rsid w:val="05ACE9D5"/>
    <w:rsid w:val="05B6EB32"/>
    <w:rsid w:val="05B814AB"/>
    <w:rsid w:val="05BA10B8"/>
    <w:rsid w:val="05D1C957"/>
    <w:rsid w:val="05D4EF65"/>
    <w:rsid w:val="05E06FE8"/>
    <w:rsid w:val="05E6B34B"/>
    <w:rsid w:val="05E6F406"/>
    <w:rsid w:val="05F1E3DB"/>
    <w:rsid w:val="05FD6924"/>
    <w:rsid w:val="060681DF"/>
    <w:rsid w:val="060A2BF4"/>
    <w:rsid w:val="060EB603"/>
    <w:rsid w:val="060F33CB"/>
    <w:rsid w:val="0611F981"/>
    <w:rsid w:val="0612C66F"/>
    <w:rsid w:val="0625386F"/>
    <w:rsid w:val="0628C57C"/>
    <w:rsid w:val="0628FC54"/>
    <w:rsid w:val="062D46F6"/>
    <w:rsid w:val="06304535"/>
    <w:rsid w:val="06349BEA"/>
    <w:rsid w:val="0635194C"/>
    <w:rsid w:val="0644F048"/>
    <w:rsid w:val="064A9964"/>
    <w:rsid w:val="064C4C82"/>
    <w:rsid w:val="064C7202"/>
    <w:rsid w:val="0653C350"/>
    <w:rsid w:val="0655A71E"/>
    <w:rsid w:val="0658ABF3"/>
    <w:rsid w:val="065C1E3F"/>
    <w:rsid w:val="0660AAD6"/>
    <w:rsid w:val="0664AF01"/>
    <w:rsid w:val="0664C439"/>
    <w:rsid w:val="066B3C43"/>
    <w:rsid w:val="066F681E"/>
    <w:rsid w:val="06721126"/>
    <w:rsid w:val="06746FD7"/>
    <w:rsid w:val="0674A525"/>
    <w:rsid w:val="067710DD"/>
    <w:rsid w:val="067D81F7"/>
    <w:rsid w:val="067F9D6D"/>
    <w:rsid w:val="068716FA"/>
    <w:rsid w:val="06957407"/>
    <w:rsid w:val="069764F3"/>
    <w:rsid w:val="069B9C3E"/>
    <w:rsid w:val="069C05C8"/>
    <w:rsid w:val="06B037CA"/>
    <w:rsid w:val="06B297D4"/>
    <w:rsid w:val="06BB3D40"/>
    <w:rsid w:val="06BFDAD8"/>
    <w:rsid w:val="06C5B957"/>
    <w:rsid w:val="06CCB681"/>
    <w:rsid w:val="06CFB13D"/>
    <w:rsid w:val="06D58994"/>
    <w:rsid w:val="06F2D2A0"/>
    <w:rsid w:val="06F3769E"/>
    <w:rsid w:val="06F45FB5"/>
    <w:rsid w:val="06F81E91"/>
    <w:rsid w:val="06FAC3D0"/>
    <w:rsid w:val="07001BB2"/>
    <w:rsid w:val="07046333"/>
    <w:rsid w:val="07083FF6"/>
    <w:rsid w:val="07088FF5"/>
    <w:rsid w:val="07097EA6"/>
    <w:rsid w:val="0718BA27"/>
    <w:rsid w:val="071F09C8"/>
    <w:rsid w:val="07206985"/>
    <w:rsid w:val="0720B394"/>
    <w:rsid w:val="07219A54"/>
    <w:rsid w:val="072DCD31"/>
    <w:rsid w:val="073272B5"/>
    <w:rsid w:val="0736A6EB"/>
    <w:rsid w:val="073F389C"/>
    <w:rsid w:val="0744A95B"/>
    <w:rsid w:val="0746812C"/>
    <w:rsid w:val="07492402"/>
    <w:rsid w:val="074B5263"/>
    <w:rsid w:val="0754FC63"/>
    <w:rsid w:val="075B07AE"/>
    <w:rsid w:val="075EBD9C"/>
    <w:rsid w:val="0760147E"/>
    <w:rsid w:val="0767B7F1"/>
    <w:rsid w:val="076B9BB7"/>
    <w:rsid w:val="07763A3F"/>
    <w:rsid w:val="07797298"/>
    <w:rsid w:val="0786EB72"/>
    <w:rsid w:val="078D3116"/>
    <w:rsid w:val="07911F5E"/>
    <w:rsid w:val="079123C3"/>
    <w:rsid w:val="07914370"/>
    <w:rsid w:val="07939558"/>
    <w:rsid w:val="079BE96B"/>
    <w:rsid w:val="07ACA833"/>
    <w:rsid w:val="07B27C86"/>
    <w:rsid w:val="07B30912"/>
    <w:rsid w:val="07B9D297"/>
    <w:rsid w:val="07BEA44B"/>
    <w:rsid w:val="07C3AC01"/>
    <w:rsid w:val="07CC6726"/>
    <w:rsid w:val="07CF40A7"/>
    <w:rsid w:val="07D664B3"/>
    <w:rsid w:val="07D67B81"/>
    <w:rsid w:val="07D95955"/>
    <w:rsid w:val="07DE4F65"/>
    <w:rsid w:val="07DEE87C"/>
    <w:rsid w:val="07E60AC5"/>
    <w:rsid w:val="07E88A78"/>
    <w:rsid w:val="07EC5D0F"/>
    <w:rsid w:val="07ED8436"/>
    <w:rsid w:val="07ED8A19"/>
    <w:rsid w:val="07F0CBCE"/>
    <w:rsid w:val="07F96A06"/>
    <w:rsid w:val="07FC67EA"/>
    <w:rsid w:val="07FD1553"/>
    <w:rsid w:val="07FEE05C"/>
    <w:rsid w:val="0806ABA0"/>
    <w:rsid w:val="0809B1D3"/>
    <w:rsid w:val="082EC7FA"/>
    <w:rsid w:val="083F444E"/>
    <w:rsid w:val="08432E74"/>
    <w:rsid w:val="0846DA49"/>
    <w:rsid w:val="084CF6B2"/>
    <w:rsid w:val="08545FC3"/>
    <w:rsid w:val="085C8997"/>
    <w:rsid w:val="086483B9"/>
    <w:rsid w:val="08652747"/>
    <w:rsid w:val="0871DCE0"/>
    <w:rsid w:val="08725F41"/>
    <w:rsid w:val="087E749D"/>
    <w:rsid w:val="0885727A"/>
    <w:rsid w:val="0887F5B6"/>
    <w:rsid w:val="088AAB42"/>
    <w:rsid w:val="08929450"/>
    <w:rsid w:val="08A1BEEF"/>
    <w:rsid w:val="08A8A382"/>
    <w:rsid w:val="08AA7A29"/>
    <w:rsid w:val="08BB4829"/>
    <w:rsid w:val="08BCA10D"/>
    <w:rsid w:val="08C5EFA6"/>
    <w:rsid w:val="08C690E1"/>
    <w:rsid w:val="08C925C5"/>
    <w:rsid w:val="08CFA91B"/>
    <w:rsid w:val="08D0FA89"/>
    <w:rsid w:val="08D4EA4C"/>
    <w:rsid w:val="08D57B75"/>
    <w:rsid w:val="08E1B72D"/>
    <w:rsid w:val="08EF4498"/>
    <w:rsid w:val="08F332CE"/>
    <w:rsid w:val="090BB662"/>
    <w:rsid w:val="090BD2A4"/>
    <w:rsid w:val="09178D2A"/>
    <w:rsid w:val="0917B32F"/>
    <w:rsid w:val="091C64FD"/>
    <w:rsid w:val="09265DEA"/>
    <w:rsid w:val="092D1AAE"/>
    <w:rsid w:val="09347360"/>
    <w:rsid w:val="0942F279"/>
    <w:rsid w:val="09432AA4"/>
    <w:rsid w:val="094DCBD5"/>
    <w:rsid w:val="09521506"/>
    <w:rsid w:val="0954A10D"/>
    <w:rsid w:val="09626605"/>
    <w:rsid w:val="096B613B"/>
    <w:rsid w:val="09741CC9"/>
    <w:rsid w:val="097676C8"/>
    <w:rsid w:val="097ED4AA"/>
    <w:rsid w:val="0985A383"/>
    <w:rsid w:val="098EB81A"/>
    <w:rsid w:val="098FC856"/>
    <w:rsid w:val="09902DF9"/>
    <w:rsid w:val="09933EEC"/>
    <w:rsid w:val="0997E518"/>
    <w:rsid w:val="099AB1EA"/>
    <w:rsid w:val="099B8906"/>
    <w:rsid w:val="09A3D3F1"/>
    <w:rsid w:val="09A8DC13"/>
    <w:rsid w:val="09B32CA5"/>
    <w:rsid w:val="09B8AA9E"/>
    <w:rsid w:val="09BCAAD3"/>
    <w:rsid w:val="09C454C1"/>
    <w:rsid w:val="09D1CCC4"/>
    <w:rsid w:val="09D58F93"/>
    <w:rsid w:val="09D81AD5"/>
    <w:rsid w:val="09D8BC92"/>
    <w:rsid w:val="09DE2730"/>
    <w:rsid w:val="09E0C0F1"/>
    <w:rsid w:val="09E180D9"/>
    <w:rsid w:val="09E58427"/>
    <w:rsid w:val="09ECEC5E"/>
    <w:rsid w:val="09F0E0A4"/>
    <w:rsid w:val="0A05A458"/>
    <w:rsid w:val="0A069BC8"/>
    <w:rsid w:val="0A07720F"/>
    <w:rsid w:val="0A081322"/>
    <w:rsid w:val="0A1460C2"/>
    <w:rsid w:val="0A232416"/>
    <w:rsid w:val="0A324233"/>
    <w:rsid w:val="0A3EB7A5"/>
    <w:rsid w:val="0A41472E"/>
    <w:rsid w:val="0A43B948"/>
    <w:rsid w:val="0A484B8D"/>
    <w:rsid w:val="0A535B7B"/>
    <w:rsid w:val="0A5437A3"/>
    <w:rsid w:val="0A5B8DC5"/>
    <w:rsid w:val="0A675157"/>
    <w:rsid w:val="0A6C521B"/>
    <w:rsid w:val="0A6C89C4"/>
    <w:rsid w:val="0A6EDC30"/>
    <w:rsid w:val="0A71894A"/>
    <w:rsid w:val="0A8B6373"/>
    <w:rsid w:val="0A8B6697"/>
    <w:rsid w:val="0A8DD048"/>
    <w:rsid w:val="0A8EF218"/>
    <w:rsid w:val="0A9DB11E"/>
    <w:rsid w:val="0A9E845F"/>
    <w:rsid w:val="0AA75F50"/>
    <w:rsid w:val="0AAF4194"/>
    <w:rsid w:val="0ABC9216"/>
    <w:rsid w:val="0AC0D14F"/>
    <w:rsid w:val="0AC3216F"/>
    <w:rsid w:val="0AC5F9FF"/>
    <w:rsid w:val="0AC677F6"/>
    <w:rsid w:val="0ACAB382"/>
    <w:rsid w:val="0ADCCBC0"/>
    <w:rsid w:val="0AE496FC"/>
    <w:rsid w:val="0AEFD12D"/>
    <w:rsid w:val="0AF4FD11"/>
    <w:rsid w:val="0AFBD7E7"/>
    <w:rsid w:val="0B054B2D"/>
    <w:rsid w:val="0B0C609D"/>
    <w:rsid w:val="0B1A883E"/>
    <w:rsid w:val="0B1F7E69"/>
    <w:rsid w:val="0B269FC9"/>
    <w:rsid w:val="0B27F7C3"/>
    <w:rsid w:val="0B28EAAC"/>
    <w:rsid w:val="0B331099"/>
    <w:rsid w:val="0B369338"/>
    <w:rsid w:val="0B36D3AD"/>
    <w:rsid w:val="0B36EED6"/>
    <w:rsid w:val="0B370ADE"/>
    <w:rsid w:val="0B393828"/>
    <w:rsid w:val="0B3AD102"/>
    <w:rsid w:val="0B4114CA"/>
    <w:rsid w:val="0B46407B"/>
    <w:rsid w:val="0B4D48F4"/>
    <w:rsid w:val="0B4F04F9"/>
    <w:rsid w:val="0B5543F2"/>
    <w:rsid w:val="0B56977E"/>
    <w:rsid w:val="0B57A7FB"/>
    <w:rsid w:val="0B58A451"/>
    <w:rsid w:val="0B58D784"/>
    <w:rsid w:val="0B5A2C5F"/>
    <w:rsid w:val="0B6E5223"/>
    <w:rsid w:val="0B6E7B43"/>
    <w:rsid w:val="0B7BD22F"/>
    <w:rsid w:val="0B7D242C"/>
    <w:rsid w:val="0B7DB26E"/>
    <w:rsid w:val="0B7FC1BB"/>
    <w:rsid w:val="0B83A8FF"/>
    <w:rsid w:val="0B849E14"/>
    <w:rsid w:val="0B915AEA"/>
    <w:rsid w:val="0B93C21A"/>
    <w:rsid w:val="0B95F009"/>
    <w:rsid w:val="0B99CFC6"/>
    <w:rsid w:val="0B9D512B"/>
    <w:rsid w:val="0B9D7626"/>
    <w:rsid w:val="0BA86A71"/>
    <w:rsid w:val="0BA91B28"/>
    <w:rsid w:val="0BAE610F"/>
    <w:rsid w:val="0BAFC0FF"/>
    <w:rsid w:val="0BB01586"/>
    <w:rsid w:val="0BB4B706"/>
    <w:rsid w:val="0BC41CAA"/>
    <w:rsid w:val="0BC4F962"/>
    <w:rsid w:val="0BC81775"/>
    <w:rsid w:val="0BCCC798"/>
    <w:rsid w:val="0BD8CBA4"/>
    <w:rsid w:val="0BEB946D"/>
    <w:rsid w:val="0BEC83B0"/>
    <w:rsid w:val="0BEDFF66"/>
    <w:rsid w:val="0BF01F94"/>
    <w:rsid w:val="0BF2CDE8"/>
    <w:rsid w:val="0BF4E268"/>
    <w:rsid w:val="0BF883FC"/>
    <w:rsid w:val="0BF886DA"/>
    <w:rsid w:val="0BF948D0"/>
    <w:rsid w:val="0C012672"/>
    <w:rsid w:val="0C0D7372"/>
    <w:rsid w:val="0C1DA269"/>
    <w:rsid w:val="0C1FC7BD"/>
    <w:rsid w:val="0C20096C"/>
    <w:rsid w:val="0C22523D"/>
    <w:rsid w:val="0C2A948E"/>
    <w:rsid w:val="0C314AD6"/>
    <w:rsid w:val="0C34EAE1"/>
    <w:rsid w:val="0C3632F9"/>
    <w:rsid w:val="0C399B3C"/>
    <w:rsid w:val="0C3DB410"/>
    <w:rsid w:val="0C401779"/>
    <w:rsid w:val="0C4D1A13"/>
    <w:rsid w:val="0C4DDBA3"/>
    <w:rsid w:val="0C4EF552"/>
    <w:rsid w:val="0C5162B1"/>
    <w:rsid w:val="0C524485"/>
    <w:rsid w:val="0C5FA472"/>
    <w:rsid w:val="0C6CFEF2"/>
    <w:rsid w:val="0C743691"/>
    <w:rsid w:val="0C7E0A69"/>
    <w:rsid w:val="0C82C859"/>
    <w:rsid w:val="0C83376B"/>
    <w:rsid w:val="0C88D51E"/>
    <w:rsid w:val="0C8A5EBA"/>
    <w:rsid w:val="0C8C7AAF"/>
    <w:rsid w:val="0C8D90BC"/>
    <w:rsid w:val="0C973777"/>
    <w:rsid w:val="0C97AD44"/>
    <w:rsid w:val="0CA78DF8"/>
    <w:rsid w:val="0CADD0C2"/>
    <w:rsid w:val="0CB047BF"/>
    <w:rsid w:val="0CB503DE"/>
    <w:rsid w:val="0CBB1D09"/>
    <w:rsid w:val="0CBD4CE2"/>
    <w:rsid w:val="0CC2DEC3"/>
    <w:rsid w:val="0CC309AC"/>
    <w:rsid w:val="0CC8402E"/>
    <w:rsid w:val="0CCEA25A"/>
    <w:rsid w:val="0CD1C621"/>
    <w:rsid w:val="0CD532F4"/>
    <w:rsid w:val="0CD574EF"/>
    <w:rsid w:val="0CDDFC10"/>
    <w:rsid w:val="0CDE0361"/>
    <w:rsid w:val="0CEF4F85"/>
    <w:rsid w:val="0CEF884C"/>
    <w:rsid w:val="0CF81EDF"/>
    <w:rsid w:val="0CF8DE28"/>
    <w:rsid w:val="0D015591"/>
    <w:rsid w:val="0D05862C"/>
    <w:rsid w:val="0D061CD4"/>
    <w:rsid w:val="0D06AF7F"/>
    <w:rsid w:val="0D080155"/>
    <w:rsid w:val="0D1661D4"/>
    <w:rsid w:val="0D16A30B"/>
    <w:rsid w:val="0D1889C0"/>
    <w:rsid w:val="0D1B310C"/>
    <w:rsid w:val="0D200CDC"/>
    <w:rsid w:val="0D20F78E"/>
    <w:rsid w:val="0D22341B"/>
    <w:rsid w:val="0D250062"/>
    <w:rsid w:val="0D2AC87D"/>
    <w:rsid w:val="0D2BB515"/>
    <w:rsid w:val="0D2DC4BB"/>
    <w:rsid w:val="0D2DDCEB"/>
    <w:rsid w:val="0D2DFBF0"/>
    <w:rsid w:val="0D396B01"/>
    <w:rsid w:val="0D3D58A1"/>
    <w:rsid w:val="0D3E32DF"/>
    <w:rsid w:val="0D4C3AD3"/>
    <w:rsid w:val="0D5C9453"/>
    <w:rsid w:val="0D61CB02"/>
    <w:rsid w:val="0D6C17E4"/>
    <w:rsid w:val="0D7E9DAB"/>
    <w:rsid w:val="0D8482BA"/>
    <w:rsid w:val="0D890117"/>
    <w:rsid w:val="0D924659"/>
    <w:rsid w:val="0D97E369"/>
    <w:rsid w:val="0D9B8EC0"/>
    <w:rsid w:val="0D9E1BF6"/>
    <w:rsid w:val="0DA0B89A"/>
    <w:rsid w:val="0DA1D7EC"/>
    <w:rsid w:val="0DA96E15"/>
    <w:rsid w:val="0DAA9E79"/>
    <w:rsid w:val="0DADF89E"/>
    <w:rsid w:val="0DB37075"/>
    <w:rsid w:val="0DB7BD4F"/>
    <w:rsid w:val="0DB901A2"/>
    <w:rsid w:val="0DBB435D"/>
    <w:rsid w:val="0DBFCD24"/>
    <w:rsid w:val="0DCC7D84"/>
    <w:rsid w:val="0DD2549B"/>
    <w:rsid w:val="0DD274D7"/>
    <w:rsid w:val="0DD5386C"/>
    <w:rsid w:val="0DD54155"/>
    <w:rsid w:val="0DD647A3"/>
    <w:rsid w:val="0DD86805"/>
    <w:rsid w:val="0DE10AA9"/>
    <w:rsid w:val="0DEBE292"/>
    <w:rsid w:val="0DF495FB"/>
    <w:rsid w:val="0DF70795"/>
    <w:rsid w:val="0DF9E5BA"/>
    <w:rsid w:val="0E02E683"/>
    <w:rsid w:val="0E035FC7"/>
    <w:rsid w:val="0E070C2C"/>
    <w:rsid w:val="0E108039"/>
    <w:rsid w:val="0E11EE93"/>
    <w:rsid w:val="0E12465F"/>
    <w:rsid w:val="0E13B42F"/>
    <w:rsid w:val="0E14034C"/>
    <w:rsid w:val="0E17B001"/>
    <w:rsid w:val="0E1A24F5"/>
    <w:rsid w:val="0E1A8C9E"/>
    <w:rsid w:val="0E218FC9"/>
    <w:rsid w:val="0E21C3D8"/>
    <w:rsid w:val="0E238576"/>
    <w:rsid w:val="0E279725"/>
    <w:rsid w:val="0E2C2270"/>
    <w:rsid w:val="0E2E57F3"/>
    <w:rsid w:val="0E3B7CB3"/>
    <w:rsid w:val="0E3E3F64"/>
    <w:rsid w:val="0E42F333"/>
    <w:rsid w:val="0E4B7EEB"/>
    <w:rsid w:val="0E4B94B3"/>
    <w:rsid w:val="0E4C7E6D"/>
    <w:rsid w:val="0E4F989E"/>
    <w:rsid w:val="0E4FCED5"/>
    <w:rsid w:val="0E506AA7"/>
    <w:rsid w:val="0E51AD10"/>
    <w:rsid w:val="0E520D9F"/>
    <w:rsid w:val="0E58DC8A"/>
    <w:rsid w:val="0E5B87F0"/>
    <w:rsid w:val="0E65C546"/>
    <w:rsid w:val="0E680292"/>
    <w:rsid w:val="0E699759"/>
    <w:rsid w:val="0E69F53C"/>
    <w:rsid w:val="0E6FCC30"/>
    <w:rsid w:val="0E73C67A"/>
    <w:rsid w:val="0E790B91"/>
    <w:rsid w:val="0E7E248D"/>
    <w:rsid w:val="0E7EBBBA"/>
    <w:rsid w:val="0E8514B8"/>
    <w:rsid w:val="0E8CBF2B"/>
    <w:rsid w:val="0E95794D"/>
    <w:rsid w:val="0E97D8EF"/>
    <w:rsid w:val="0E9C917E"/>
    <w:rsid w:val="0EA1B54C"/>
    <w:rsid w:val="0EA2A88D"/>
    <w:rsid w:val="0EA3D093"/>
    <w:rsid w:val="0EA7418E"/>
    <w:rsid w:val="0EA7E7D0"/>
    <w:rsid w:val="0EB1E388"/>
    <w:rsid w:val="0EBB1D2F"/>
    <w:rsid w:val="0EC268AD"/>
    <w:rsid w:val="0EC3459F"/>
    <w:rsid w:val="0ECAF85A"/>
    <w:rsid w:val="0ECF97CE"/>
    <w:rsid w:val="0ED2D5C2"/>
    <w:rsid w:val="0ED51321"/>
    <w:rsid w:val="0ED866AA"/>
    <w:rsid w:val="0EDCFA07"/>
    <w:rsid w:val="0EDFFDEE"/>
    <w:rsid w:val="0EE135F4"/>
    <w:rsid w:val="0EF01B72"/>
    <w:rsid w:val="0EF2B3DC"/>
    <w:rsid w:val="0EF40DFB"/>
    <w:rsid w:val="0EF57EB6"/>
    <w:rsid w:val="0EF67F47"/>
    <w:rsid w:val="0EF6CD2B"/>
    <w:rsid w:val="0EF80613"/>
    <w:rsid w:val="0EFA3970"/>
    <w:rsid w:val="0EFCDB5D"/>
    <w:rsid w:val="0EFCE9E0"/>
    <w:rsid w:val="0F056771"/>
    <w:rsid w:val="0F168C40"/>
    <w:rsid w:val="0F1B511D"/>
    <w:rsid w:val="0F1DD262"/>
    <w:rsid w:val="0F20B672"/>
    <w:rsid w:val="0F244798"/>
    <w:rsid w:val="0F26CE8A"/>
    <w:rsid w:val="0F275544"/>
    <w:rsid w:val="0F3273D2"/>
    <w:rsid w:val="0F3B99F9"/>
    <w:rsid w:val="0F3FC4ED"/>
    <w:rsid w:val="0F441B95"/>
    <w:rsid w:val="0F475B0D"/>
    <w:rsid w:val="0F4CD01E"/>
    <w:rsid w:val="0F4DFE07"/>
    <w:rsid w:val="0F4F5172"/>
    <w:rsid w:val="0F535B90"/>
    <w:rsid w:val="0F5484B5"/>
    <w:rsid w:val="0F630CB5"/>
    <w:rsid w:val="0F75F0C7"/>
    <w:rsid w:val="0F7AC45C"/>
    <w:rsid w:val="0F7CA554"/>
    <w:rsid w:val="0F7CD5AC"/>
    <w:rsid w:val="0F7DA930"/>
    <w:rsid w:val="0F841F1C"/>
    <w:rsid w:val="0F881C59"/>
    <w:rsid w:val="0F8B3F22"/>
    <w:rsid w:val="0F8DE37F"/>
    <w:rsid w:val="0F8EF745"/>
    <w:rsid w:val="0F97B78D"/>
    <w:rsid w:val="0F996278"/>
    <w:rsid w:val="0F9D7DB2"/>
    <w:rsid w:val="0F9EECEC"/>
    <w:rsid w:val="0FA0C8E1"/>
    <w:rsid w:val="0FABEA57"/>
    <w:rsid w:val="0FB1B574"/>
    <w:rsid w:val="0FB1C862"/>
    <w:rsid w:val="0FB2D85A"/>
    <w:rsid w:val="0FC4E044"/>
    <w:rsid w:val="0FCF6BEA"/>
    <w:rsid w:val="0FD0B550"/>
    <w:rsid w:val="0FD0C471"/>
    <w:rsid w:val="0FD12F29"/>
    <w:rsid w:val="0FD1E58D"/>
    <w:rsid w:val="0FD9C24E"/>
    <w:rsid w:val="0FDAF507"/>
    <w:rsid w:val="0FDF3081"/>
    <w:rsid w:val="0FDF6E37"/>
    <w:rsid w:val="0FF17317"/>
    <w:rsid w:val="0FF321D4"/>
    <w:rsid w:val="0FF8C3A4"/>
    <w:rsid w:val="0FF983C8"/>
    <w:rsid w:val="0FF9C14C"/>
    <w:rsid w:val="0FFAF795"/>
    <w:rsid w:val="1000ACA7"/>
    <w:rsid w:val="10026A3C"/>
    <w:rsid w:val="1004B2FB"/>
    <w:rsid w:val="10067FE4"/>
    <w:rsid w:val="10073131"/>
    <w:rsid w:val="100C5121"/>
    <w:rsid w:val="1016DD24"/>
    <w:rsid w:val="10178FA5"/>
    <w:rsid w:val="101E1F5C"/>
    <w:rsid w:val="10226F28"/>
    <w:rsid w:val="10271CB2"/>
    <w:rsid w:val="10272112"/>
    <w:rsid w:val="10279960"/>
    <w:rsid w:val="10298311"/>
    <w:rsid w:val="1031582D"/>
    <w:rsid w:val="10320B52"/>
    <w:rsid w:val="103AFFAC"/>
    <w:rsid w:val="10430977"/>
    <w:rsid w:val="10501727"/>
    <w:rsid w:val="1050FB02"/>
    <w:rsid w:val="1051F352"/>
    <w:rsid w:val="1052ACC2"/>
    <w:rsid w:val="10579A4A"/>
    <w:rsid w:val="10579CA8"/>
    <w:rsid w:val="105F0EF8"/>
    <w:rsid w:val="105F4E87"/>
    <w:rsid w:val="106650D7"/>
    <w:rsid w:val="10699D71"/>
    <w:rsid w:val="106B79D9"/>
    <w:rsid w:val="106C827F"/>
    <w:rsid w:val="10836694"/>
    <w:rsid w:val="108F3D1B"/>
    <w:rsid w:val="10925F13"/>
    <w:rsid w:val="1097F4DD"/>
    <w:rsid w:val="1098A89B"/>
    <w:rsid w:val="10A03FC8"/>
    <w:rsid w:val="10A05E1D"/>
    <w:rsid w:val="10A6CAF8"/>
    <w:rsid w:val="10AB24F6"/>
    <w:rsid w:val="10AC4EDF"/>
    <w:rsid w:val="10AD2587"/>
    <w:rsid w:val="10ADBFAD"/>
    <w:rsid w:val="10AE0D00"/>
    <w:rsid w:val="10AF5AD8"/>
    <w:rsid w:val="10B1BAAB"/>
    <w:rsid w:val="10B3812A"/>
    <w:rsid w:val="10B781E5"/>
    <w:rsid w:val="10BA54EC"/>
    <w:rsid w:val="10BB4599"/>
    <w:rsid w:val="10C0FAAB"/>
    <w:rsid w:val="10C564EC"/>
    <w:rsid w:val="10C96AA7"/>
    <w:rsid w:val="10D9A6F6"/>
    <w:rsid w:val="10ECE1F4"/>
    <w:rsid w:val="10EE198B"/>
    <w:rsid w:val="10F6B56D"/>
    <w:rsid w:val="10F82249"/>
    <w:rsid w:val="10F995C7"/>
    <w:rsid w:val="10FFEC71"/>
    <w:rsid w:val="1107DAE1"/>
    <w:rsid w:val="111EEBB5"/>
    <w:rsid w:val="111F208B"/>
    <w:rsid w:val="112463F7"/>
    <w:rsid w:val="11249BF8"/>
    <w:rsid w:val="1124B73E"/>
    <w:rsid w:val="11255A40"/>
    <w:rsid w:val="1128855A"/>
    <w:rsid w:val="112BC526"/>
    <w:rsid w:val="112DA062"/>
    <w:rsid w:val="1137A576"/>
    <w:rsid w:val="113C4EE7"/>
    <w:rsid w:val="114B3B88"/>
    <w:rsid w:val="114C40F8"/>
    <w:rsid w:val="1153A076"/>
    <w:rsid w:val="11542383"/>
    <w:rsid w:val="115F390C"/>
    <w:rsid w:val="115F6A85"/>
    <w:rsid w:val="11608D1C"/>
    <w:rsid w:val="1161FCAC"/>
    <w:rsid w:val="116CCBE1"/>
    <w:rsid w:val="1170838C"/>
    <w:rsid w:val="1175664D"/>
    <w:rsid w:val="118000B4"/>
    <w:rsid w:val="118CE7FD"/>
    <w:rsid w:val="118D2DD7"/>
    <w:rsid w:val="118D4EBA"/>
    <w:rsid w:val="118EF9A6"/>
    <w:rsid w:val="1195311B"/>
    <w:rsid w:val="1195507F"/>
    <w:rsid w:val="1196EF58"/>
    <w:rsid w:val="11A056ED"/>
    <w:rsid w:val="11A08930"/>
    <w:rsid w:val="11A171BA"/>
    <w:rsid w:val="11A36181"/>
    <w:rsid w:val="11A9DEE4"/>
    <w:rsid w:val="11B7EE9B"/>
    <w:rsid w:val="11C2C9E2"/>
    <w:rsid w:val="11C6A3DC"/>
    <w:rsid w:val="11CAA339"/>
    <w:rsid w:val="11D4734E"/>
    <w:rsid w:val="11E5D540"/>
    <w:rsid w:val="11E9B495"/>
    <w:rsid w:val="11F49D9B"/>
    <w:rsid w:val="11F5C4A1"/>
    <w:rsid w:val="11F5E1F9"/>
    <w:rsid w:val="11F8AA67"/>
    <w:rsid w:val="11F8ABB9"/>
    <w:rsid w:val="11FE22D9"/>
    <w:rsid w:val="11FE98B3"/>
    <w:rsid w:val="1201D654"/>
    <w:rsid w:val="1202E278"/>
    <w:rsid w:val="1203B6AF"/>
    <w:rsid w:val="12081B8F"/>
    <w:rsid w:val="120B8585"/>
    <w:rsid w:val="120C00AC"/>
    <w:rsid w:val="12125BD4"/>
    <w:rsid w:val="121A06D5"/>
    <w:rsid w:val="122041B8"/>
    <w:rsid w:val="12208A03"/>
    <w:rsid w:val="122751E4"/>
    <w:rsid w:val="1228749E"/>
    <w:rsid w:val="12397CCE"/>
    <w:rsid w:val="12470E63"/>
    <w:rsid w:val="1248F4E4"/>
    <w:rsid w:val="124E6EEE"/>
    <w:rsid w:val="1251018C"/>
    <w:rsid w:val="125A2426"/>
    <w:rsid w:val="125DC073"/>
    <w:rsid w:val="12612362"/>
    <w:rsid w:val="1262E761"/>
    <w:rsid w:val="12637C78"/>
    <w:rsid w:val="1266B81C"/>
    <w:rsid w:val="126FB6E2"/>
    <w:rsid w:val="12705796"/>
    <w:rsid w:val="1271F0B6"/>
    <w:rsid w:val="12727E07"/>
    <w:rsid w:val="127D1F89"/>
    <w:rsid w:val="127EC755"/>
    <w:rsid w:val="1281DEFC"/>
    <w:rsid w:val="12845DC0"/>
    <w:rsid w:val="128B0DB5"/>
    <w:rsid w:val="128BD4AC"/>
    <w:rsid w:val="128CD8F6"/>
    <w:rsid w:val="128F81BC"/>
    <w:rsid w:val="12916D70"/>
    <w:rsid w:val="1297794A"/>
    <w:rsid w:val="129C97CF"/>
    <w:rsid w:val="129E3286"/>
    <w:rsid w:val="12A08D97"/>
    <w:rsid w:val="12A331B3"/>
    <w:rsid w:val="12A77BA7"/>
    <w:rsid w:val="12A82883"/>
    <w:rsid w:val="12BE6964"/>
    <w:rsid w:val="12C4DAC6"/>
    <w:rsid w:val="12CC651D"/>
    <w:rsid w:val="12D0881B"/>
    <w:rsid w:val="12D5D4C5"/>
    <w:rsid w:val="12D69113"/>
    <w:rsid w:val="12DB41A8"/>
    <w:rsid w:val="12DEC721"/>
    <w:rsid w:val="12E0417D"/>
    <w:rsid w:val="12E8A94F"/>
    <w:rsid w:val="12ED900B"/>
    <w:rsid w:val="12F8FDB7"/>
    <w:rsid w:val="12F9404F"/>
    <w:rsid w:val="12FB41D5"/>
    <w:rsid w:val="1300B211"/>
    <w:rsid w:val="130625D1"/>
    <w:rsid w:val="1306D8F5"/>
    <w:rsid w:val="130CB2E3"/>
    <w:rsid w:val="131B5A62"/>
    <w:rsid w:val="1320BE1F"/>
    <w:rsid w:val="1321ADFD"/>
    <w:rsid w:val="13295DD8"/>
    <w:rsid w:val="132FC42A"/>
    <w:rsid w:val="1333A0D1"/>
    <w:rsid w:val="1336868E"/>
    <w:rsid w:val="133AE0CC"/>
    <w:rsid w:val="13458AD8"/>
    <w:rsid w:val="13478C2B"/>
    <w:rsid w:val="1349E497"/>
    <w:rsid w:val="134FCB65"/>
    <w:rsid w:val="13508AA6"/>
    <w:rsid w:val="135618DE"/>
    <w:rsid w:val="13562A8B"/>
    <w:rsid w:val="13572039"/>
    <w:rsid w:val="1357A995"/>
    <w:rsid w:val="135DD4C9"/>
    <w:rsid w:val="1360172E"/>
    <w:rsid w:val="1361BDC4"/>
    <w:rsid w:val="1362268F"/>
    <w:rsid w:val="13676F6E"/>
    <w:rsid w:val="136972E2"/>
    <w:rsid w:val="1369939B"/>
    <w:rsid w:val="136D0FF9"/>
    <w:rsid w:val="136E334E"/>
    <w:rsid w:val="137A2146"/>
    <w:rsid w:val="137DB43D"/>
    <w:rsid w:val="13865A25"/>
    <w:rsid w:val="138BF94F"/>
    <w:rsid w:val="1396E5BA"/>
    <w:rsid w:val="139CE307"/>
    <w:rsid w:val="13A5A98D"/>
    <w:rsid w:val="13A9C6D1"/>
    <w:rsid w:val="13ABDC00"/>
    <w:rsid w:val="13AD8E6C"/>
    <w:rsid w:val="13AE2813"/>
    <w:rsid w:val="13B078F3"/>
    <w:rsid w:val="13B73AD2"/>
    <w:rsid w:val="13B7CBD2"/>
    <w:rsid w:val="13BD10BA"/>
    <w:rsid w:val="13BE3449"/>
    <w:rsid w:val="13BEE53C"/>
    <w:rsid w:val="13C170BC"/>
    <w:rsid w:val="13C3181D"/>
    <w:rsid w:val="13C62EC9"/>
    <w:rsid w:val="13C69907"/>
    <w:rsid w:val="13C70224"/>
    <w:rsid w:val="13CA4C08"/>
    <w:rsid w:val="13D72380"/>
    <w:rsid w:val="13DB0C10"/>
    <w:rsid w:val="13DB152D"/>
    <w:rsid w:val="13DC2F9D"/>
    <w:rsid w:val="13E84CF7"/>
    <w:rsid w:val="13EC3183"/>
    <w:rsid w:val="13F7507D"/>
    <w:rsid w:val="13FE313E"/>
    <w:rsid w:val="13FEBAFD"/>
    <w:rsid w:val="13FF57A3"/>
    <w:rsid w:val="1403CE16"/>
    <w:rsid w:val="14093F23"/>
    <w:rsid w:val="140ADBAB"/>
    <w:rsid w:val="140E081B"/>
    <w:rsid w:val="140E4E0B"/>
    <w:rsid w:val="1419A62D"/>
    <w:rsid w:val="1426AE4F"/>
    <w:rsid w:val="14277692"/>
    <w:rsid w:val="1431C1E6"/>
    <w:rsid w:val="143E6F5F"/>
    <w:rsid w:val="1441EDF9"/>
    <w:rsid w:val="144C11BB"/>
    <w:rsid w:val="1452254B"/>
    <w:rsid w:val="1452B445"/>
    <w:rsid w:val="14595687"/>
    <w:rsid w:val="146AC8A1"/>
    <w:rsid w:val="146B5DAE"/>
    <w:rsid w:val="146BDB06"/>
    <w:rsid w:val="146CFDDF"/>
    <w:rsid w:val="147775FA"/>
    <w:rsid w:val="1477B070"/>
    <w:rsid w:val="14791ACE"/>
    <w:rsid w:val="147B4EAA"/>
    <w:rsid w:val="147C59D2"/>
    <w:rsid w:val="147E2B6D"/>
    <w:rsid w:val="14934B99"/>
    <w:rsid w:val="1494C96A"/>
    <w:rsid w:val="14990758"/>
    <w:rsid w:val="149BA78B"/>
    <w:rsid w:val="149BCF03"/>
    <w:rsid w:val="149CF56F"/>
    <w:rsid w:val="149D1A55"/>
    <w:rsid w:val="14A13838"/>
    <w:rsid w:val="14A6F724"/>
    <w:rsid w:val="14B62431"/>
    <w:rsid w:val="14B9D1D1"/>
    <w:rsid w:val="14BBEA25"/>
    <w:rsid w:val="14C5DE62"/>
    <w:rsid w:val="14C7D822"/>
    <w:rsid w:val="14C9164A"/>
    <w:rsid w:val="14CED09B"/>
    <w:rsid w:val="14D33138"/>
    <w:rsid w:val="14D3CC59"/>
    <w:rsid w:val="14D68BAC"/>
    <w:rsid w:val="14DB1A20"/>
    <w:rsid w:val="14E1F6E3"/>
    <w:rsid w:val="14EDF360"/>
    <w:rsid w:val="14F0CF94"/>
    <w:rsid w:val="14F11CB5"/>
    <w:rsid w:val="14F5C2E8"/>
    <w:rsid w:val="14FD195B"/>
    <w:rsid w:val="14FE1286"/>
    <w:rsid w:val="14FFCA00"/>
    <w:rsid w:val="150CA5C5"/>
    <w:rsid w:val="150CF040"/>
    <w:rsid w:val="150DF98B"/>
    <w:rsid w:val="1513A2BE"/>
    <w:rsid w:val="1516000A"/>
    <w:rsid w:val="151A2025"/>
    <w:rsid w:val="151B34E1"/>
    <w:rsid w:val="151BC41A"/>
    <w:rsid w:val="151EB23C"/>
    <w:rsid w:val="151F1EFE"/>
    <w:rsid w:val="152050DF"/>
    <w:rsid w:val="152109D9"/>
    <w:rsid w:val="15219989"/>
    <w:rsid w:val="1527E8DA"/>
    <w:rsid w:val="1531D6DF"/>
    <w:rsid w:val="153739A9"/>
    <w:rsid w:val="1538EF00"/>
    <w:rsid w:val="153AC3E6"/>
    <w:rsid w:val="1544F124"/>
    <w:rsid w:val="1548BAA9"/>
    <w:rsid w:val="1548D301"/>
    <w:rsid w:val="154AFC28"/>
    <w:rsid w:val="155579A6"/>
    <w:rsid w:val="1557CC5C"/>
    <w:rsid w:val="155E63E5"/>
    <w:rsid w:val="15646E66"/>
    <w:rsid w:val="1564961E"/>
    <w:rsid w:val="1568CE35"/>
    <w:rsid w:val="156C4337"/>
    <w:rsid w:val="156C96D4"/>
    <w:rsid w:val="1574E009"/>
    <w:rsid w:val="157E2F19"/>
    <w:rsid w:val="158049CD"/>
    <w:rsid w:val="15818515"/>
    <w:rsid w:val="1585D5EA"/>
    <w:rsid w:val="15883FED"/>
    <w:rsid w:val="159582C6"/>
    <w:rsid w:val="159FB38D"/>
    <w:rsid w:val="159FC43F"/>
    <w:rsid w:val="15AA569F"/>
    <w:rsid w:val="15B0F771"/>
    <w:rsid w:val="15B2582D"/>
    <w:rsid w:val="15B37A49"/>
    <w:rsid w:val="15B53589"/>
    <w:rsid w:val="15B56EC6"/>
    <w:rsid w:val="15BC5C07"/>
    <w:rsid w:val="15BDFFDA"/>
    <w:rsid w:val="15BE03CA"/>
    <w:rsid w:val="15C001E0"/>
    <w:rsid w:val="15CB83A2"/>
    <w:rsid w:val="15CC635B"/>
    <w:rsid w:val="15D0B1BB"/>
    <w:rsid w:val="15D5A602"/>
    <w:rsid w:val="15D8C075"/>
    <w:rsid w:val="15E0053E"/>
    <w:rsid w:val="15E1E68C"/>
    <w:rsid w:val="15E2B475"/>
    <w:rsid w:val="15E5B952"/>
    <w:rsid w:val="15E8B940"/>
    <w:rsid w:val="15EAB836"/>
    <w:rsid w:val="15ECC967"/>
    <w:rsid w:val="15F300C0"/>
    <w:rsid w:val="15F741D8"/>
    <w:rsid w:val="15FE224B"/>
    <w:rsid w:val="15FE5F2C"/>
    <w:rsid w:val="16000A38"/>
    <w:rsid w:val="160F1F33"/>
    <w:rsid w:val="1614233E"/>
    <w:rsid w:val="161BC03D"/>
    <w:rsid w:val="16234C1C"/>
    <w:rsid w:val="16285F33"/>
    <w:rsid w:val="162CAE39"/>
    <w:rsid w:val="162D8055"/>
    <w:rsid w:val="162F1E98"/>
    <w:rsid w:val="1632701A"/>
    <w:rsid w:val="163509BA"/>
    <w:rsid w:val="163754D3"/>
    <w:rsid w:val="1638E657"/>
    <w:rsid w:val="163F9317"/>
    <w:rsid w:val="164B44D5"/>
    <w:rsid w:val="164FD14A"/>
    <w:rsid w:val="16518D32"/>
    <w:rsid w:val="1653E783"/>
    <w:rsid w:val="1654892F"/>
    <w:rsid w:val="1658E887"/>
    <w:rsid w:val="165A83A4"/>
    <w:rsid w:val="165B26BC"/>
    <w:rsid w:val="165F6B0D"/>
    <w:rsid w:val="1662F1CB"/>
    <w:rsid w:val="1669BDBE"/>
    <w:rsid w:val="16705E6E"/>
    <w:rsid w:val="16733B87"/>
    <w:rsid w:val="16740F5A"/>
    <w:rsid w:val="1675D705"/>
    <w:rsid w:val="167B44C0"/>
    <w:rsid w:val="1682A5A4"/>
    <w:rsid w:val="16842EFE"/>
    <w:rsid w:val="1690D86B"/>
    <w:rsid w:val="169183FA"/>
    <w:rsid w:val="16974FA5"/>
    <w:rsid w:val="16A54F2F"/>
    <w:rsid w:val="16A856E3"/>
    <w:rsid w:val="16AA8A61"/>
    <w:rsid w:val="16B0A5C3"/>
    <w:rsid w:val="16B3F7D1"/>
    <w:rsid w:val="16B5DA39"/>
    <w:rsid w:val="16BDDBA8"/>
    <w:rsid w:val="16C1CE77"/>
    <w:rsid w:val="16D9F179"/>
    <w:rsid w:val="16DE3C4E"/>
    <w:rsid w:val="16EDAC4A"/>
    <w:rsid w:val="16EDD4A3"/>
    <w:rsid w:val="16F31FAA"/>
    <w:rsid w:val="16F3EEA0"/>
    <w:rsid w:val="16F81185"/>
    <w:rsid w:val="16F8957F"/>
    <w:rsid w:val="16FC1D30"/>
    <w:rsid w:val="1704B5C1"/>
    <w:rsid w:val="170A6008"/>
    <w:rsid w:val="170CE0B0"/>
    <w:rsid w:val="170E00F3"/>
    <w:rsid w:val="171172BB"/>
    <w:rsid w:val="17196C81"/>
    <w:rsid w:val="1720713E"/>
    <w:rsid w:val="17209463"/>
    <w:rsid w:val="1729B2F6"/>
    <w:rsid w:val="172BD3E9"/>
    <w:rsid w:val="17359FDA"/>
    <w:rsid w:val="1736A0D4"/>
    <w:rsid w:val="1736A363"/>
    <w:rsid w:val="173832BD"/>
    <w:rsid w:val="17396618"/>
    <w:rsid w:val="173A1E62"/>
    <w:rsid w:val="173C8BEF"/>
    <w:rsid w:val="173EC38B"/>
    <w:rsid w:val="17441539"/>
    <w:rsid w:val="17495FA2"/>
    <w:rsid w:val="174AEE67"/>
    <w:rsid w:val="17523D3E"/>
    <w:rsid w:val="17527880"/>
    <w:rsid w:val="1754208E"/>
    <w:rsid w:val="1755C487"/>
    <w:rsid w:val="17576E0A"/>
    <w:rsid w:val="175AF3AC"/>
    <w:rsid w:val="175F178B"/>
    <w:rsid w:val="176B0F57"/>
    <w:rsid w:val="176C7A1A"/>
    <w:rsid w:val="176E06DD"/>
    <w:rsid w:val="1772A6B4"/>
    <w:rsid w:val="177A32B5"/>
    <w:rsid w:val="177D92F0"/>
    <w:rsid w:val="177F32A5"/>
    <w:rsid w:val="177F935C"/>
    <w:rsid w:val="1780D0AD"/>
    <w:rsid w:val="17824E94"/>
    <w:rsid w:val="17838059"/>
    <w:rsid w:val="1787BD01"/>
    <w:rsid w:val="17992CE7"/>
    <w:rsid w:val="17A173CC"/>
    <w:rsid w:val="17A17B04"/>
    <w:rsid w:val="17A464EB"/>
    <w:rsid w:val="17A8AD3E"/>
    <w:rsid w:val="17B6AA6A"/>
    <w:rsid w:val="17BB099E"/>
    <w:rsid w:val="17BEE5F6"/>
    <w:rsid w:val="17C96B24"/>
    <w:rsid w:val="17CEE251"/>
    <w:rsid w:val="17DA21E9"/>
    <w:rsid w:val="17DD2DF3"/>
    <w:rsid w:val="17E0D696"/>
    <w:rsid w:val="17E0E6B7"/>
    <w:rsid w:val="17E48F3F"/>
    <w:rsid w:val="17E580A8"/>
    <w:rsid w:val="17ECDBB4"/>
    <w:rsid w:val="17F22C69"/>
    <w:rsid w:val="17F9CB5A"/>
    <w:rsid w:val="1800FBF0"/>
    <w:rsid w:val="1801AE83"/>
    <w:rsid w:val="180838BE"/>
    <w:rsid w:val="180C0383"/>
    <w:rsid w:val="1810734B"/>
    <w:rsid w:val="18180195"/>
    <w:rsid w:val="18186C6D"/>
    <w:rsid w:val="182127F3"/>
    <w:rsid w:val="1821DA35"/>
    <w:rsid w:val="1822EEF5"/>
    <w:rsid w:val="1825D86D"/>
    <w:rsid w:val="182A2875"/>
    <w:rsid w:val="182B2696"/>
    <w:rsid w:val="182F2C36"/>
    <w:rsid w:val="182F7BFE"/>
    <w:rsid w:val="183C577D"/>
    <w:rsid w:val="183E3825"/>
    <w:rsid w:val="183E8594"/>
    <w:rsid w:val="18411CA9"/>
    <w:rsid w:val="1848564C"/>
    <w:rsid w:val="184AAE7F"/>
    <w:rsid w:val="184CC490"/>
    <w:rsid w:val="184DBCA3"/>
    <w:rsid w:val="185588CA"/>
    <w:rsid w:val="1856A6C0"/>
    <w:rsid w:val="185B07B4"/>
    <w:rsid w:val="1861FBF5"/>
    <w:rsid w:val="1863A22A"/>
    <w:rsid w:val="186456C3"/>
    <w:rsid w:val="186EF4E4"/>
    <w:rsid w:val="1871045B"/>
    <w:rsid w:val="18738E95"/>
    <w:rsid w:val="18739185"/>
    <w:rsid w:val="18792E6C"/>
    <w:rsid w:val="187CD26B"/>
    <w:rsid w:val="187D5648"/>
    <w:rsid w:val="18815E61"/>
    <w:rsid w:val="18885701"/>
    <w:rsid w:val="18889B9C"/>
    <w:rsid w:val="188A2714"/>
    <w:rsid w:val="188A4396"/>
    <w:rsid w:val="188D8DA6"/>
    <w:rsid w:val="188F8323"/>
    <w:rsid w:val="1899E36B"/>
    <w:rsid w:val="189CD672"/>
    <w:rsid w:val="18A1F450"/>
    <w:rsid w:val="18A2685D"/>
    <w:rsid w:val="18A4161A"/>
    <w:rsid w:val="18AA500B"/>
    <w:rsid w:val="18ADBABB"/>
    <w:rsid w:val="18B1FC87"/>
    <w:rsid w:val="18B625CD"/>
    <w:rsid w:val="18B6607A"/>
    <w:rsid w:val="18BAF904"/>
    <w:rsid w:val="18BBC6C5"/>
    <w:rsid w:val="18BF65EE"/>
    <w:rsid w:val="18C6C745"/>
    <w:rsid w:val="18C7D53F"/>
    <w:rsid w:val="18C80D9C"/>
    <w:rsid w:val="18D04F61"/>
    <w:rsid w:val="18D14053"/>
    <w:rsid w:val="18D464AC"/>
    <w:rsid w:val="18F160F0"/>
    <w:rsid w:val="18F2F9DE"/>
    <w:rsid w:val="18F5DCF5"/>
    <w:rsid w:val="18F761BF"/>
    <w:rsid w:val="18FD5B43"/>
    <w:rsid w:val="18FFA46A"/>
    <w:rsid w:val="19020C79"/>
    <w:rsid w:val="190676B0"/>
    <w:rsid w:val="1908E8BA"/>
    <w:rsid w:val="19095D7A"/>
    <w:rsid w:val="1909CA8E"/>
    <w:rsid w:val="190BF4B6"/>
    <w:rsid w:val="19138312"/>
    <w:rsid w:val="1914CA50"/>
    <w:rsid w:val="191889C7"/>
    <w:rsid w:val="191C56A6"/>
    <w:rsid w:val="1921078E"/>
    <w:rsid w:val="1924663A"/>
    <w:rsid w:val="192E5B81"/>
    <w:rsid w:val="19329FDB"/>
    <w:rsid w:val="1932EADC"/>
    <w:rsid w:val="193A4CD0"/>
    <w:rsid w:val="194048B8"/>
    <w:rsid w:val="19533421"/>
    <w:rsid w:val="19568861"/>
    <w:rsid w:val="1956E91F"/>
    <w:rsid w:val="1959683E"/>
    <w:rsid w:val="195CB787"/>
    <w:rsid w:val="19691B66"/>
    <w:rsid w:val="1973C8F2"/>
    <w:rsid w:val="197BE719"/>
    <w:rsid w:val="19847DD6"/>
    <w:rsid w:val="19848784"/>
    <w:rsid w:val="19860F4F"/>
    <w:rsid w:val="19885984"/>
    <w:rsid w:val="199B3218"/>
    <w:rsid w:val="199B49B5"/>
    <w:rsid w:val="199D21C6"/>
    <w:rsid w:val="19A64058"/>
    <w:rsid w:val="19AB6488"/>
    <w:rsid w:val="19AD568C"/>
    <w:rsid w:val="19B1DD79"/>
    <w:rsid w:val="19B9E0AD"/>
    <w:rsid w:val="19BE79CE"/>
    <w:rsid w:val="19BEC4EA"/>
    <w:rsid w:val="19C30D82"/>
    <w:rsid w:val="19CB9BEF"/>
    <w:rsid w:val="19D3885D"/>
    <w:rsid w:val="19E2E8A5"/>
    <w:rsid w:val="19E5A48D"/>
    <w:rsid w:val="19EDFEE0"/>
    <w:rsid w:val="19F08E20"/>
    <w:rsid w:val="19F4E331"/>
    <w:rsid w:val="19F5FDBB"/>
    <w:rsid w:val="19F74BF2"/>
    <w:rsid w:val="19FC11AC"/>
    <w:rsid w:val="19FFDE82"/>
    <w:rsid w:val="1A0058F0"/>
    <w:rsid w:val="1A05CACD"/>
    <w:rsid w:val="1A0D7ECC"/>
    <w:rsid w:val="1A0DFDC3"/>
    <w:rsid w:val="1A0F829C"/>
    <w:rsid w:val="1A10B2D2"/>
    <w:rsid w:val="1A172715"/>
    <w:rsid w:val="1A18CBA6"/>
    <w:rsid w:val="1A3159DC"/>
    <w:rsid w:val="1A3F7714"/>
    <w:rsid w:val="1A40AC7C"/>
    <w:rsid w:val="1A476B6E"/>
    <w:rsid w:val="1A49098B"/>
    <w:rsid w:val="1A4BEBE9"/>
    <w:rsid w:val="1A4C0353"/>
    <w:rsid w:val="1A4D8A14"/>
    <w:rsid w:val="1A516962"/>
    <w:rsid w:val="1A53E919"/>
    <w:rsid w:val="1A57CA91"/>
    <w:rsid w:val="1A5870AD"/>
    <w:rsid w:val="1A5D0D42"/>
    <w:rsid w:val="1A5DC819"/>
    <w:rsid w:val="1A5E972B"/>
    <w:rsid w:val="1A5EED1B"/>
    <w:rsid w:val="1A61E148"/>
    <w:rsid w:val="1A657EE0"/>
    <w:rsid w:val="1A6D116B"/>
    <w:rsid w:val="1A747C43"/>
    <w:rsid w:val="1A788A79"/>
    <w:rsid w:val="1A7D59CC"/>
    <w:rsid w:val="1A7DF33D"/>
    <w:rsid w:val="1A7EEFFB"/>
    <w:rsid w:val="1A861E55"/>
    <w:rsid w:val="1A8A5707"/>
    <w:rsid w:val="1A8C9F32"/>
    <w:rsid w:val="1AA70A6C"/>
    <w:rsid w:val="1AB30F17"/>
    <w:rsid w:val="1AB6C476"/>
    <w:rsid w:val="1ABD3808"/>
    <w:rsid w:val="1AC28C4B"/>
    <w:rsid w:val="1AC298D7"/>
    <w:rsid w:val="1ACB1F59"/>
    <w:rsid w:val="1ACEE288"/>
    <w:rsid w:val="1AD20AAF"/>
    <w:rsid w:val="1AD8560C"/>
    <w:rsid w:val="1ADB4BDE"/>
    <w:rsid w:val="1ADD911B"/>
    <w:rsid w:val="1ADDB07A"/>
    <w:rsid w:val="1AE15DE6"/>
    <w:rsid w:val="1AE282B8"/>
    <w:rsid w:val="1AE8A94F"/>
    <w:rsid w:val="1AEB0D72"/>
    <w:rsid w:val="1AF1ACD5"/>
    <w:rsid w:val="1AF1D846"/>
    <w:rsid w:val="1AF60CE3"/>
    <w:rsid w:val="1AF74A5D"/>
    <w:rsid w:val="1B06F7FC"/>
    <w:rsid w:val="1B091FB5"/>
    <w:rsid w:val="1B09ED73"/>
    <w:rsid w:val="1B0D4D0B"/>
    <w:rsid w:val="1B0F4E63"/>
    <w:rsid w:val="1B2171EA"/>
    <w:rsid w:val="1B268175"/>
    <w:rsid w:val="1B3F736F"/>
    <w:rsid w:val="1B468B85"/>
    <w:rsid w:val="1B586E57"/>
    <w:rsid w:val="1B59902E"/>
    <w:rsid w:val="1B61076F"/>
    <w:rsid w:val="1B668A1A"/>
    <w:rsid w:val="1B6C3C60"/>
    <w:rsid w:val="1B756B7D"/>
    <w:rsid w:val="1B7AF92E"/>
    <w:rsid w:val="1B7DB9DA"/>
    <w:rsid w:val="1B7E47CF"/>
    <w:rsid w:val="1B86BF39"/>
    <w:rsid w:val="1B8A492D"/>
    <w:rsid w:val="1B8DA305"/>
    <w:rsid w:val="1B94005C"/>
    <w:rsid w:val="1B993E8C"/>
    <w:rsid w:val="1B9D6F7C"/>
    <w:rsid w:val="1B9DDE43"/>
    <w:rsid w:val="1BA1ADD2"/>
    <w:rsid w:val="1BA28D2B"/>
    <w:rsid w:val="1BA42052"/>
    <w:rsid w:val="1BA8DC9B"/>
    <w:rsid w:val="1BAB1B2A"/>
    <w:rsid w:val="1BAB7E36"/>
    <w:rsid w:val="1BAE175C"/>
    <w:rsid w:val="1BAF602F"/>
    <w:rsid w:val="1BBA68BF"/>
    <w:rsid w:val="1BC23D91"/>
    <w:rsid w:val="1BC5AE98"/>
    <w:rsid w:val="1BCA80C1"/>
    <w:rsid w:val="1BCB3F4C"/>
    <w:rsid w:val="1BD41055"/>
    <w:rsid w:val="1BD43122"/>
    <w:rsid w:val="1BD7FF74"/>
    <w:rsid w:val="1BDC829F"/>
    <w:rsid w:val="1BDD9486"/>
    <w:rsid w:val="1BE057C6"/>
    <w:rsid w:val="1BE0F054"/>
    <w:rsid w:val="1BE3EF06"/>
    <w:rsid w:val="1BE4B6B6"/>
    <w:rsid w:val="1BE6F5F7"/>
    <w:rsid w:val="1BEB931E"/>
    <w:rsid w:val="1BEC9E4C"/>
    <w:rsid w:val="1BF5E36B"/>
    <w:rsid w:val="1BF95083"/>
    <w:rsid w:val="1C06FA2E"/>
    <w:rsid w:val="1C080030"/>
    <w:rsid w:val="1C0DFC77"/>
    <w:rsid w:val="1C105497"/>
    <w:rsid w:val="1C11AA0C"/>
    <w:rsid w:val="1C11ED5F"/>
    <w:rsid w:val="1C15B187"/>
    <w:rsid w:val="1C15C87C"/>
    <w:rsid w:val="1C1E33B6"/>
    <w:rsid w:val="1C1FA9B1"/>
    <w:rsid w:val="1C240D0D"/>
    <w:rsid w:val="1C2ACB8F"/>
    <w:rsid w:val="1C2B31AC"/>
    <w:rsid w:val="1C347C0B"/>
    <w:rsid w:val="1C352635"/>
    <w:rsid w:val="1C3BA9DF"/>
    <w:rsid w:val="1C4376ED"/>
    <w:rsid w:val="1C48F1D5"/>
    <w:rsid w:val="1C4EE384"/>
    <w:rsid w:val="1C52BD96"/>
    <w:rsid w:val="1C53C4BB"/>
    <w:rsid w:val="1C571E4E"/>
    <w:rsid w:val="1C598E04"/>
    <w:rsid w:val="1C607E56"/>
    <w:rsid w:val="1C62ABE3"/>
    <w:rsid w:val="1C645571"/>
    <w:rsid w:val="1C66AB20"/>
    <w:rsid w:val="1C6887F5"/>
    <w:rsid w:val="1C6A1A66"/>
    <w:rsid w:val="1C74312F"/>
    <w:rsid w:val="1C7549D8"/>
    <w:rsid w:val="1C7813C1"/>
    <w:rsid w:val="1C7E5F79"/>
    <w:rsid w:val="1C7FE1F2"/>
    <w:rsid w:val="1C8D0FA4"/>
    <w:rsid w:val="1C8E797E"/>
    <w:rsid w:val="1C900816"/>
    <w:rsid w:val="1C964849"/>
    <w:rsid w:val="1C981E17"/>
    <w:rsid w:val="1CA48363"/>
    <w:rsid w:val="1CAE8A16"/>
    <w:rsid w:val="1CB111C6"/>
    <w:rsid w:val="1CB543A4"/>
    <w:rsid w:val="1CB65C0B"/>
    <w:rsid w:val="1CB76F71"/>
    <w:rsid w:val="1CBE9B7E"/>
    <w:rsid w:val="1CC37E93"/>
    <w:rsid w:val="1CCABEA4"/>
    <w:rsid w:val="1CCDE9DB"/>
    <w:rsid w:val="1CD0BCAF"/>
    <w:rsid w:val="1CD6BAE8"/>
    <w:rsid w:val="1CE76FAF"/>
    <w:rsid w:val="1CE7726C"/>
    <w:rsid w:val="1CED4FE8"/>
    <w:rsid w:val="1CF1EA35"/>
    <w:rsid w:val="1CF300C7"/>
    <w:rsid w:val="1D0261A0"/>
    <w:rsid w:val="1D07B3DC"/>
    <w:rsid w:val="1D1258F3"/>
    <w:rsid w:val="1D130550"/>
    <w:rsid w:val="1D14D4AE"/>
    <w:rsid w:val="1D16D0A2"/>
    <w:rsid w:val="1D17A4B7"/>
    <w:rsid w:val="1D22A80C"/>
    <w:rsid w:val="1D22C72B"/>
    <w:rsid w:val="1D23AE15"/>
    <w:rsid w:val="1D2ED05B"/>
    <w:rsid w:val="1D345C57"/>
    <w:rsid w:val="1D3C03E8"/>
    <w:rsid w:val="1D3D0909"/>
    <w:rsid w:val="1D3D783B"/>
    <w:rsid w:val="1D3E6D45"/>
    <w:rsid w:val="1D3EA313"/>
    <w:rsid w:val="1D4A84DF"/>
    <w:rsid w:val="1D4B9F03"/>
    <w:rsid w:val="1D583E73"/>
    <w:rsid w:val="1D5D5FBD"/>
    <w:rsid w:val="1D653061"/>
    <w:rsid w:val="1D664220"/>
    <w:rsid w:val="1D6B02E7"/>
    <w:rsid w:val="1D6D254B"/>
    <w:rsid w:val="1D6E0DE7"/>
    <w:rsid w:val="1D77695D"/>
    <w:rsid w:val="1D81D94D"/>
    <w:rsid w:val="1D82D54B"/>
    <w:rsid w:val="1D8462F8"/>
    <w:rsid w:val="1D84CD92"/>
    <w:rsid w:val="1D874BAE"/>
    <w:rsid w:val="1D898C60"/>
    <w:rsid w:val="1D8D6BD5"/>
    <w:rsid w:val="1D8EF509"/>
    <w:rsid w:val="1D92077D"/>
    <w:rsid w:val="1D935DE1"/>
    <w:rsid w:val="1D9EF843"/>
    <w:rsid w:val="1D9FA68C"/>
    <w:rsid w:val="1DB1D02C"/>
    <w:rsid w:val="1DB2DE6D"/>
    <w:rsid w:val="1DB525B2"/>
    <w:rsid w:val="1DB5535C"/>
    <w:rsid w:val="1DBEC199"/>
    <w:rsid w:val="1DC4290D"/>
    <w:rsid w:val="1DC8210C"/>
    <w:rsid w:val="1DCC5BC1"/>
    <w:rsid w:val="1DCC9715"/>
    <w:rsid w:val="1DCE1AE5"/>
    <w:rsid w:val="1DD1E6CA"/>
    <w:rsid w:val="1DD21CE7"/>
    <w:rsid w:val="1DD25D3F"/>
    <w:rsid w:val="1DDAA8C1"/>
    <w:rsid w:val="1DDE5765"/>
    <w:rsid w:val="1DE0873A"/>
    <w:rsid w:val="1DE0B4C3"/>
    <w:rsid w:val="1DE2EEEB"/>
    <w:rsid w:val="1DEC6414"/>
    <w:rsid w:val="1DEE6363"/>
    <w:rsid w:val="1DF00F0C"/>
    <w:rsid w:val="1DF247B2"/>
    <w:rsid w:val="1DF7A197"/>
    <w:rsid w:val="1DF8E284"/>
    <w:rsid w:val="1DFCBB24"/>
    <w:rsid w:val="1E0314C7"/>
    <w:rsid w:val="1E04CE58"/>
    <w:rsid w:val="1E069C6E"/>
    <w:rsid w:val="1E06A17E"/>
    <w:rsid w:val="1E08A695"/>
    <w:rsid w:val="1E08E45E"/>
    <w:rsid w:val="1E08F504"/>
    <w:rsid w:val="1E0AA3DC"/>
    <w:rsid w:val="1E106950"/>
    <w:rsid w:val="1E11C3D7"/>
    <w:rsid w:val="1E12BDD1"/>
    <w:rsid w:val="1E149FAD"/>
    <w:rsid w:val="1E19E412"/>
    <w:rsid w:val="1E1A2093"/>
    <w:rsid w:val="1E28D287"/>
    <w:rsid w:val="1E3024B3"/>
    <w:rsid w:val="1E31E126"/>
    <w:rsid w:val="1E39E853"/>
    <w:rsid w:val="1E40DE64"/>
    <w:rsid w:val="1E4163A8"/>
    <w:rsid w:val="1E4C234C"/>
    <w:rsid w:val="1E525FC6"/>
    <w:rsid w:val="1E5B27B5"/>
    <w:rsid w:val="1E695304"/>
    <w:rsid w:val="1E706C56"/>
    <w:rsid w:val="1E727804"/>
    <w:rsid w:val="1E76D7DA"/>
    <w:rsid w:val="1E771C16"/>
    <w:rsid w:val="1E77BE1B"/>
    <w:rsid w:val="1E822D7B"/>
    <w:rsid w:val="1E855CA7"/>
    <w:rsid w:val="1E8A891B"/>
    <w:rsid w:val="1E9520E6"/>
    <w:rsid w:val="1E9CF63C"/>
    <w:rsid w:val="1E9F4E2D"/>
    <w:rsid w:val="1E9F829A"/>
    <w:rsid w:val="1EAA77D3"/>
    <w:rsid w:val="1EAC4E74"/>
    <w:rsid w:val="1EADE65B"/>
    <w:rsid w:val="1EAE7CB4"/>
    <w:rsid w:val="1EB2ADEE"/>
    <w:rsid w:val="1EC5769C"/>
    <w:rsid w:val="1ECCD4BC"/>
    <w:rsid w:val="1ED1B036"/>
    <w:rsid w:val="1ED7501A"/>
    <w:rsid w:val="1EDEBB73"/>
    <w:rsid w:val="1EDFBD74"/>
    <w:rsid w:val="1EE08B92"/>
    <w:rsid w:val="1EE64949"/>
    <w:rsid w:val="1EE6F754"/>
    <w:rsid w:val="1EE7AF3E"/>
    <w:rsid w:val="1EEE6A4E"/>
    <w:rsid w:val="1EF1FC05"/>
    <w:rsid w:val="1EF35624"/>
    <w:rsid w:val="1EF61F8E"/>
    <w:rsid w:val="1F01989A"/>
    <w:rsid w:val="1F12BD54"/>
    <w:rsid w:val="1F153D61"/>
    <w:rsid w:val="1F1A532A"/>
    <w:rsid w:val="1F1AC11C"/>
    <w:rsid w:val="1F1D2F00"/>
    <w:rsid w:val="1F1E3306"/>
    <w:rsid w:val="1F1EAAD3"/>
    <w:rsid w:val="1F20662A"/>
    <w:rsid w:val="1F209284"/>
    <w:rsid w:val="1F281F20"/>
    <w:rsid w:val="1F28B4B6"/>
    <w:rsid w:val="1F3190E9"/>
    <w:rsid w:val="1F337E0F"/>
    <w:rsid w:val="1F3A78B1"/>
    <w:rsid w:val="1F409119"/>
    <w:rsid w:val="1F40C9C6"/>
    <w:rsid w:val="1F466D3F"/>
    <w:rsid w:val="1F4C9C46"/>
    <w:rsid w:val="1F4D94E1"/>
    <w:rsid w:val="1F55B65A"/>
    <w:rsid w:val="1F5B0EF3"/>
    <w:rsid w:val="1F5E2205"/>
    <w:rsid w:val="1F607687"/>
    <w:rsid w:val="1F6373AE"/>
    <w:rsid w:val="1F64C142"/>
    <w:rsid w:val="1F64C457"/>
    <w:rsid w:val="1F6962F9"/>
    <w:rsid w:val="1F69C6CD"/>
    <w:rsid w:val="1F6A8BC2"/>
    <w:rsid w:val="1F6C781B"/>
    <w:rsid w:val="1F6D3A5F"/>
    <w:rsid w:val="1F6E8B67"/>
    <w:rsid w:val="1F73292F"/>
    <w:rsid w:val="1F765AE0"/>
    <w:rsid w:val="1F78AFFD"/>
    <w:rsid w:val="1F798A52"/>
    <w:rsid w:val="1F7999FB"/>
    <w:rsid w:val="1F7C6583"/>
    <w:rsid w:val="1F7FE9B6"/>
    <w:rsid w:val="1F80372F"/>
    <w:rsid w:val="1F809BFA"/>
    <w:rsid w:val="1F82017B"/>
    <w:rsid w:val="1F86267B"/>
    <w:rsid w:val="1F8AF677"/>
    <w:rsid w:val="1F8CDAB0"/>
    <w:rsid w:val="1F916DD1"/>
    <w:rsid w:val="1F96367A"/>
    <w:rsid w:val="1F9E54B5"/>
    <w:rsid w:val="1F9EDA80"/>
    <w:rsid w:val="1FAA71C0"/>
    <w:rsid w:val="1FB04C97"/>
    <w:rsid w:val="1FB53F4A"/>
    <w:rsid w:val="1FB5BF71"/>
    <w:rsid w:val="1FB5ED0E"/>
    <w:rsid w:val="1FBB76F6"/>
    <w:rsid w:val="1FBCF4B0"/>
    <w:rsid w:val="1FBD62B3"/>
    <w:rsid w:val="1FC20747"/>
    <w:rsid w:val="1FC8592D"/>
    <w:rsid w:val="1FD3FB45"/>
    <w:rsid w:val="1FDDE44E"/>
    <w:rsid w:val="1FDFA039"/>
    <w:rsid w:val="1FE5D5AF"/>
    <w:rsid w:val="1FE709C4"/>
    <w:rsid w:val="1FE82AE4"/>
    <w:rsid w:val="1FE93B3B"/>
    <w:rsid w:val="1FEBE149"/>
    <w:rsid w:val="1FEE1C8B"/>
    <w:rsid w:val="1FEE3909"/>
    <w:rsid w:val="1FF029C1"/>
    <w:rsid w:val="1FF1F73F"/>
    <w:rsid w:val="1FF21406"/>
    <w:rsid w:val="20068DDA"/>
    <w:rsid w:val="20092806"/>
    <w:rsid w:val="200A84D8"/>
    <w:rsid w:val="20148A4A"/>
    <w:rsid w:val="201906D9"/>
    <w:rsid w:val="201D078F"/>
    <w:rsid w:val="201F655C"/>
    <w:rsid w:val="20208516"/>
    <w:rsid w:val="202461C2"/>
    <w:rsid w:val="2026814C"/>
    <w:rsid w:val="20281553"/>
    <w:rsid w:val="20288A77"/>
    <w:rsid w:val="202D3D0B"/>
    <w:rsid w:val="202F4732"/>
    <w:rsid w:val="2034C8FF"/>
    <w:rsid w:val="2035AEB2"/>
    <w:rsid w:val="2036D5B5"/>
    <w:rsid w:val="2042CD03"/>
    <w:rsid w:val="204D0FE9"/>
    <w:rsid w:val="204EDC85"/>
    <w:rsid w:val="204EFA0D"/>
    <w:rsid w:val="2050FAEE"/>
    <w:rsid w:val="205324F4"/>
    <w:rsid w:val="20542506"/>
    <w:rsid w:val="205FD5C3"/>
    <w:rsid w:val="206265CC"/>
    <w:rsid w:val="20700330"/>
    <w:rsid w:val="20708627"/>
    <w:rsid w:val="2075CFD6"/>
    <w:rsid w:val="2081757C"/>
    <w:rsid w:val="2081A607"/>
    <w:rsid w:val="2082C0CE"/>
    <w:rsid w:val="208542FE"/>
    <w:rsid w:val="208912DC"/>
    <w:rsid w:val="208C7AC4"/>
    <w:rsid w:val="209C0A30"/>
    <w:rsid w:val="20A776DC"/>
    <w:rsid w:val="20B00A29"/>
    <w:rsid w:val="20B7E95E"/>
    <w:rsid w:val="20BD50EA"/>
    <w:rsid w:val="20C64D5F"/>
    <w:rsid w:val="20C94BDC"/>
    <w:rsid w:val="20CA2CCE"/>
    <w:rsid w:val="20CB0043"/>
    <w:rsid w:val="20CBFA75"/>
    <w:rsid w:val="20CE594C"/>
    <w:rsid w:val="20D0D0B1"/>
    <w:rsid w:val="20D21925"/>
    <w:rsid w:val="20D44B00"/>
    <w:rsid w:val="20DB0C34"/>
    <w:rsid w:val="20E03CF3"/>
    <w:rsid w:val="20E1439E"/>
    <w:rsid w:val="20E7BFD2"/>
    <w:rsid w:val="20EEB9AE"/>
    <w:rsid w:val="20F221EF"/>
    <w:rsid w:val="20F58348"/>
    <w:rsid w:val="20F8348F"/>
    <w:rsid w:val="20F8F793"/>
    <w:rsid w:val="21027FCA"/>
    <w:rsid w:val="21032791"/>
    <w:rsid w:val="210421A5"/>
    <w:rsid w:val="210B22CD"/>
    <w:rsid w:val="2111084C"/>
    <w:rsid w:val="2117364A"/>
    <w:rsid w:val="21195D08"/>
    <w:rsid w:val="211C3782"/>
    <w:rsid w:val="2120EC08"/>
    <w:rsid w:val="21276CC2"/>
    <w:rsid w:val="2127B34E"/>
    <w:rsid w:val="212BC18F"/>
    <w:rsid w:val="212CD3C6"/>
    <w:rsid w:val="21320AA5"/>
    <w:rsid w:val="21336E8E"/>
    <w:rsid w:val="21349048"/>
    <w:rsid w:val="21364324"/>
    <w:rsid w:val="213C9803"/>
    <w:rsid w:val="2140F9C5"/>
    <w:rsid w:val="2143A1A6"/>
    <w:rsid w:val="2148D156"/>
    <w:rsid w:val="21497514"/>
    <w:rsid w:val="214ACCF4"/>
    <w:rsid w:val="214B9D99"/>
    <w:rsid w:val="214C9927"/>
    <w:rsid w:val="215CDBBD"/>
    <w:rsid w:val="216EE7E6"/>
    <w:rsid w:val="21752593"/>
    <w:rsid w:val="21875CC1"/>
    <w:rsid w:val="218835FD"/>
    <w:rsid w:val="218B7116"/>
    <w:rsid w:val="218C26B4"/>
    <w:rsid w:val="218C304A"/>
    <w:rsid w:val="2196700D"/>
    <w:rsid w:val="21AB8C53"/>
    <w:rsid w:val="21ABB3AE"/>
    <w:rsid w:val="21B24BD5"/>
    <w:rsid w:val="21BC3BC4"/>
    <w:rsid w:val="21C12961"/>
    <w:rsid w:val="21C30FA4"/>
    <w:rsid w:val="21C89973"/>
    <w:rsid w:val="21CB5A9B"/>
    <w:rsid w:val="21CC9489"/>
    <w:rsid w:val="21CCD60D"/>
    <w:rsid w:val="21D75437"/>
    <w:rsid w:val="21DEC6D9"/>
    <w:rsid w:val="21E32826"/>
    <w:rsid w:val="21E7FE13"/>
    <w:rsid w:val="21EABB14"/>
    <w:rsid w:val="21EAF8D5"/>
    <w:rsid w:val="21F030EA"/>
    <w:rsid w:val="21F613D3"/>
    <w:rsid w:val="21FA46C7"/>
    <w:rsid w:val="21FB7797"/>
    <w:rsid w:val="21FBA17E"/>
    <w:rsid w:val="21FE919B"/>
    <w:rsid w:val="22097D7D"/>
    <w:rsid w:val="2210E545"/>
    <w:rsid w:val="2211294A"/>
    <w:rsid w:val="22113A01"/>
    <w:rsid w:val="2216E1B3"/>
    <w:rsid w:val="221AAE1A"/>
    <w:rsid w:val="221B2A38"/>
    <w:rsid w:val="221B56C6"/>
    <w:rsid w:val="221BADC8"/>
    <w:rsid w:val="221E465F"/>
    <w:rsid w:val="2221F33A"/>
    <w:rsid w:val="222622B9"/>
    <w:rsid w:val="223941E5"/>
    <w:rsid w:val="223A33CD"/>
    <w:rsid w:val="2240A0CC"/>
    <w:rsid w:val="2261421D"/>
    <w:rsid w:val="22620E60"/>
    <w:rsid w:val="2262E1F7"/>
    <w:rsid w:val="22765CCE"/>
    <w:rsid w:val="228020CF"/>
    <w:rsid w:val="22814F6E"/>
    <w:rsid w:val="22859326"/>
    <w:rsid w:val="228CFF15"/>
    <w:rsid w:val="2293602B"/>
    <w:rsid w:val="22972BA4"/>
    <w:rsid w:val="229A0AB1"/>
    <w:rsid w:val="229A2FC0"/>
    <w:rsid w:val="229C2CC6"/>
    <w:rsid w:val="22A06085"/>
    <w:rsid w:val="22B039BA"/>
    <w:rsid w:val="22B0D8D2"/>
    <w:rsid w:val="22B28E5B"/>
    <w:rsid w:val="22BE4DFF"/>
    <w:rsid w:val="22BFD715"/>
    <w:rsid w:val="22C68F76"/>
    <w:rsid w:val="22CA34AF"/>
    <w:rsid w:val="22CEC5FB"/>
    <w:rsid w:val="22D29E14"/>
    <w:rsid w:val="22D76A94"/>
    <w:rsid w:val="22D89057"/>
    <w:rsid w:val="22D992C7"/>
    <w:rsid w:val="22EFF881"/>
    <w:rsid w:val="22F06E68"/>
    <w:rsid w:val="22F0C765"/>
    <w:rsid w:val="22F49702"/>
    <w:rsid w:val="22F9E06F"/>
    <w:rsid w:val="230229CE"/>
    <w:rsid w:val="23093C68"/>
    <w:rsid w:val="23114A13"/>
    <w:rsid w:val="231201EA"/>
    <w:rsid w:val="23136227"/>
    <w:rsid w:val="2317CEFD"/>
    <w:rsid w:val="23261983"/>
    <w:rsid w:val="232D98EE"/>
    <w:rsid w:val="2331BBD0"/>
    <w:rsid w:val="234003CC"/>
    <w:rsid w:val="2343F8BE"/>
    <w:rsid w:val="23512F04"/>
    <w:rsid w:val="2357422E"/>
    <w:rsid w:val="2359F83A"/>
    <w:rsid w:val="23627EC8"/>
    <w:rsid w:val="236441ED"/>
    <w:rsid w:val="236482EC"/>
    <w:rsid w:val="23672A00"/>
    <w:rsid w:val="236B733B"/>
    <w:rsid w:val="236F9031"/>
    <w:rsid w:val="2371ED8C"/>
    <w:rsid w:val="2375721D"/>
    <w:rsid w:val="2376701A"/>
    <w:rsid w:val="237A5748"/>
    <w:rsid w:val="237B2BA3"/>
    <w:rsid w:val="238E25BA"/>
    <w:rsid w:val="2390BA5D"/>
    <w:rsid w:val="2390E201"/>
    <w:rsid w:val="23929012"/>
    <w:rsid w:val="239EF6B7"/>
    <w:rsid w:val="23A00F3B"/>
    <w:rsid w:val="23A142D5"/>
    <w:rsid w:val="23A44018"/>
    <w:rsid w:val="23A49148"/>
    <w:rsid w:val="23AC0524"/>
    <w:rsid w:val="23ACE6B1"/>
    <w:rsid w:val="23CA4817"/>
    <w:rsid w:val="23CC9D96"/>
    <w:rsid w:val="23CD73E8"/>
    <w:rsid w:val="23CFE250"/>
    <w:rsid w:val="23D253FC"/>
    <w:rsid w:val="23D27602"/>
    <w:rsid w:val="23D4AEBC"/>
    <w:rsid w:val="23D8EF5E"/>
    <w:rsid w:val="23D9B01F"/>
    <w:rsid w:val="23DA979D"/>
    <w:rsid w:val="23DC90CD"/>
    <w:rsid w:val="23DF1DC5"/>
    <w:rsid w:val="23E68736"/>
    <w:rsid w:val="23E6A343"/>
    <w:rsid w:val="23EC8705"/>
    <w:rsid w:val="23EDF797"/>
    <w:rsid w:val="23F0A88D"/>
    <w:rsid w:val="23F929A8"/>
    <w:rsid w:val="23FB96EB"/>
    <w:rsid w:val="23FDDF0E"/>
    <w:rsid w:val="24016B40"/>
    <w:rsid w:val="240E506D"/>
    <w:rsid w:val="240E8803"/>
    <w:rsid w:val="240ED4A9"/>
    <w:rsid w:val="2415BCF4"/>
    <w:rsid w:val="241C4294"/>
    <w:rsid w:val="2421BC0C"/>
    <w:rsid w:val="2426FC1C"/>
    <w:rsid w:val="24320A1F"/>
    <w:rsid w:val="243516E6"/>
    <w:rsid w:val="24364589"/>
    <w:rsid w:val="243D351E"/>
    <w:rsid w:val="2441B87D"/>
    <w:rsid w:val="2444750F"/>
    <w:rsid w:val="2444B6A2"/>
    <w:rsid w:val="2444D2BF"/>
    <w:rsid w:val="2446C778"/>
    <w:rsid w:val="2449F88D"/>
    <w:rsid w:val="2449F893"/>
    <w:rsid w:val="244B1C31"/>
    <w:rsid w:val="244BE013"/>
    <w:rsid w:val="24506AD7"/>
    <w:rsid w:val="245CF3CC"/>
    <w:rsid w:val="2460CB8F"/>
    <w:rsid w:val="246253D1"/>
    <w:rsid w:val="24631BC7"/>
    <w:rsid w:val="246AEB98"/>
    <w:rsid w:val="246D7AFD"/>
    <w:rsid w:val="247267C3"/>
    <w:rsid w:val="24818962"/>
    <w:rsid w:val="248C2F86"/>
    <w:rsid w:val="248DE3F6"/>
    <w:rsid w:val="249179B6"/>
    <w:rsid w:val="2499E007"/>
    <w:rsid w:val="249CD843"/>
    <w:rsid w:val="24A7E5F2"/>
    <w:rsid w:val="24AB1200"/>
    <w:rsid w:val="24B091E7"/>
    <w:rsid w:val="24B0CA8D"/>
    <w:rsid w:val="24B1A0CD"/>
    <w:rsid w:val="24B50544"/>
    <w:rsid w:val="24B70225"/>
    <w:rsid w:val="24B7B2B7"/>
    <w:rsid w:val="24C0546D"/>
    <w:rsid w:val="24C4EE20"/>
    <w:rsid w:val="24C649B4"/>
    <w:rsid w:val="24D66103"/>
    <w:rsid w:val="24D82E7A"/>
    <w:rsid w:val="24D84924"/>
    <w:rsid w:val="24D8CA9F"/>
    <w:rsid w:val="24DE0595"/>
    <w:rsid w:val="24EA96A4"/>
    <w:rsid w:val="24F0BBCC"/>
    <w:rsid w:val="24F4F089"/>
    <w:rsid w:val="24FB3231"/>
    <w:rsid w:val="2503B2F6"/>
    <w:rsid w:val="25074B93"/>
    <w:rsid w:val="250CC517"/>
    <w:rsid w:val="250F9C37"/>
    <w:rsid w:val="2510C059"/>
    <w:rsid w:val="25143A0D"/>
    <w:rsid w:val="251BA4E7"/>
    <w:rsid w:val="252C397B"/>
    <w:rsid w:val="252C9F4D"/>
    <w:rsid w:val="252CC65B"/>
    <w:rsid w:val="2532B8B4"/>
    <w:rsid w:val="2536C2DA"/>
    <w:rsid w:val="2537DC9E"/>
    <w:rsid w:val="25396B91"/>
    <w:rsid w:val="253EDD2D"/>
    <w:rsid w:val="253FEE08"/>
    <w:rsid w:val="254330DE"/>
    <w:rsid w:val="25471087"/>
    <w:rsid w:val="25511666"/>
    <w:rsid w:val="25553162"/>
    <w:rsid w:val="25595280"/>
    <w:rsid w:val="255C4052"/>
    <w:rsid w:val="255FB2F1"/>
    <w:rsid w:val="25614AE9"/>
    <w:rsid w:val="25645AAD"/>
    <w:rsid w:val="2565D8FB"/>
    <w:rsid w:val="2568EE43"/>
    <w:rsid w:val="256EB49D"/>
    <w:rsid w:val="2574DC2A"/>
    <w:rsid w:val="2575F057"/>
    <w:rsid w:val="25762A9A"/>
    <w:rsid w:val="257D0444"/>
    <w:rsid w:val="25850F4B"/>
    <w:rsid w:val="258B0917"/>
    <w:rsid w:val="258C92A5"/>
    <w:rsid w:val="2590DE94"/>
    <w:rsid w:val="25950C48"/>
    <w:rsid w:val="25964F50"/>
    <w:rsid w:val="25971980"/>
    <w:rsid w:val="25979B7A"/>
    <w:rsid w:val="2598FCE1"/>
    <w:rsid w:val="2599EFB5"/>
    <w:rsid w:val="259A06DE"/>
    <w:rsid w:val="259DA770"/>
    <w:rsid w:val="259DF962"/>
    <w:rsid w:val="259F237A"/>
    <w:rsid w:val="259FDD53"/>
    <w:rsid w:val="25A249D7"/>
    <w:rsid w:val="25A257AA"/>
    <w:rsid w:val="25A84FE6"/>
    <w:rsid w:val="25AB0285"/>
    <w:rsid w:val="25AB5517"/>
    <w:rsid w:val="25AF724C"/>
    <w:rsid w:val="25B5564C"/>
    <w:rsid w:val="25B595DE"/>
    <w:rsid w:val="25B88C69"/>
    <w:rsid w:val="25BCB5A6"/>
    <w:rsid w:val="25C21141"/>
    <w:rsid w:val="25C8261B"/>
    <w:rsid w:val="25CC28F3"/>
    <w:rsid w:val="25CDE5A7"/>
    <w:rsid w:val="25D27D72"/>
    <w:rsid w:val="25DE8459"/>
    <w:rsid w:val="25DF7C5B"/>
    <w:rsid w:val="25E2F85A"/>
    <w:rsid w:val="25E54DF9"/>
    <w:rsid w:val="25E561CF"/>
    <w:rsid w:val="25EB8A0C"/>
    <w:rsid w:val="25EF748A"/>
    <w:rsid w:val="25F0A911"/>
    <w:rsid w:val="25F100D8"/>
    <w:rsid w:val="25FC59E8"/>
    <w:rsid w:val="2600C85B"/>
    <w:rsid w:val="26020069"/>
    <w:rsid w:val="260529E4"/>
    <w:rsid w:val="260710C7"/>
    <w:rsid w:val="26087E6C"/>
    <w:rsid w:val="26115E01"/>
    <w:rsid w:val="261431CC"/>
    <w:rsid w:val="2615C93A"/>
    <w:rsid w:val="261FF603"/>
    <w:rsid w:val="2620E706"/>
    <w:rsid w:val="2626FFDC"/>
    <w:rsid w:val="26284D62"/>
    <w:rsid w:val="26285F60"/>
    <w:rsid w:val="262AA8F6"/>
    <w:rsid w:val="262C34E3"/>
    <w:rsid w:val="262E4839"/>
    <w:rsid w:val="263462BC"/>
    <w:rsid w:val="26388AF3"/>
    <w:rsid w:val="26413F26"/>
    <w:rsid w:val="2646059E"/>
    <w:rsid w:val="26464693"/>
    <w:rsid w:val="26479E92"/>
    <w:rsid w:val="264AC024"/>
    <w:rsid w:val="264EF7A3"/>
    <w:rsid w:val="265438B7"/>
    <w:rsid w:val="26584D99"/>
    <w:rsid w:val="265CB180"/>
    <w:rsid w:val="265EC406"/>
    <w:rsid w:val="2660BC9B"/>
    <w:rsid w:val="2662C2F9"/>
    <w:rsid w:val="2668ADD6"/>
    <w:rsid w:val="2669181C"/>
    <w:rsid w:val="266AC375"/>
    <w:rsid w:val="2678B1F1"/>
    <w:rsid w:val="26796D2B"/>
    <w:rsid w:val="267A14B7"/>
    <w:rsid w:val="267AD14C"/>
    <w:rsid w:val="267EF602"/>
    <w:rsid w:val="2683B56A"/>
    <w:rsid w:val="2687234F"/>
    <w:rsid w:val="268A7EDE"/>
    <w:rsid w:val="268E28F9"/>
    <w:rsid w:val="268F9929"/>
    <w:rsid w:val="26909594"/>
    <w:rsid w:val="269EB385"/>
    <w:rsid w:val="26A07677"/>
    <w:rsid w:val="26A18821"/>
    <w:rsid w:val="26A513BC"/>
    <w:rsid w:val="26A62B1C"/>
    <w:rsid w:val="26A98514"/>
    <w:rsid w:val="26AA71D9"/>
    <w:rsid w:val="26B07B88"/>
    <w:rsid w:val="26B1828F"/>
    <w:rsid w:val="26B61598"/>
    <w:rsid w:val="26BD5275"/>
    <w:rsid w:val="26C1976F"/>
    <w:rsid w:val="26C34231"/>
    <w:rsid w:val="26C7439A"/>
    <w:rsid w:val="26CDC03D"/>
    <w:rsid w:val="26D18B66"/>
    <w:rsid w:val="26D3F59C"/>
    <w:rsid w:val="26D73B72"/>
    <w:rsid w:val="26DA7798"/>
    <w:rsid w:val="26DB0F69"/>
    <w:rsid w:val="26DF981D"/>
    <w:rsid w:val="26EA9374"/>
    <w:rsid w:val="26EF2A65"/>
    <w:rsid w:val="26F85624"/>
    <w:rsid w:val="26F937D6"/>
    <w:rsid w:val="27037F18"/>
    <w:rsid w:val="270C2AE8"/>
    <w:rsid w:val="2712D38E"/>
    <w:rsid w:val="271C4EE8"/>
    <w:rsid w:val="271D587E"/>
    <w:rsid w:val="27200C71"/>
    <w:rsid w:val="27205A1E"/>
    <w:rsid w:val="27282B24"/>
    <w:rsid w:val="2733993D"/>
    <w:rsid w:val="2733FD87"/>
    <w:rsid w:val="273591AF"/>
    <w:rsid w:val="27387E1C"/>
    <w:rsid w:val="273BA12F"/>
    <w:rsid w:val="273BD7A6"/>
    <w:rsid w:val="273D5FFD"/>
    <w:rsid w:val="2744234A"/>
    <w:rsid w:val="2744F02A"/>
    <w:rsid w:val="27451A6D"/>
    <w:rsid w:val="274A5767"/>
    <w:rsid w:val="274A76B3"/>
    <w:rsid w:val="2750133B"/>
    <w:rsid w:val="275FC41B"/>
    <w:rsid w:val="2763017B"/>
    <w:rsid w:val="27679239"/>
    <w:rsid w:val="27692788"/>
    <w:rsid w:val="277466CC"/>
    <w:rsid w:val="277A6202"/>
    <w:rsid w:val="277ADB6E"/>
    <w:rsid w:val="277C4E22"/>
    <w:rsid w:val="27825478"/>
    <w:rsid w:val="27829277"/>
    <w:rsid w:val="2784DFAB"/>
    <w:rsid w:val="27868EFF"/>
    <w:rsid w:val="278C4F3E"/>
    <w:rsid w:val="279945A7"/>
    <w:rsid w:val="279D7561"/>
    <w:rsid w:val="27A03BE8"/>
    <w:rsid w:val="27A5C986"/>
    <w:rsid w:val="27A80362"/>
    <w:rsid w:val="27AAFA90"/>
    <w:rsid w:val="27ACC776"/>
    <w:rsid w:val="27B32466"/>
    <w:rsid w:val="27B4B5E8"/>
    <w:rsid w:val="27B4E9A1"/>
    <w:rsid w:val="27B4FF22"/>
    <w:rsid w:val="27B53B11"/>
    <w:rsid w:val="27BBAD7B"/>
    <w:rsid w:val="27C009F9"/>
    <w:rsid w:val="27C54175"/>
    <w:rsid w:val="27C579D1"/>
    <w:rsid w:val="27C5F3F8"/>
    <w:rsid w:val="27CC3587"/>
    <w:rsid w:val="27CD4DD2"/>
    <w:rsid w:val="27D1226C"/>
    <w:rsid w:val="27D3CA67"/>
    <w:rsid w:val="27D3FF62"/>
    <w:rsid w:val="27DBD5B5"/>
    <w:rsid w:val="27E23BC3"/>
    <w:rsid w:val="27E36AE7"/>
    <w:rsid w:val="27E5D478"/>
    <w:rsid w:val="27E5ECC1"/>
    <w:rsid w:val="27E861F3"/>
    <w:rsid w:val="27EF78AE"/>
    <w:rsid w:val="27FF0B3B"/>
    <w:rsid w:val="28137AE0"/>
    <w:rsid w:val="2817F14C"/>
    <w:rsid w:val="281A36EC"/>
    <w:rsid w:val="28394CDC"/>
    <w:rsid w:val="28394E50"/>
    <w:rsid w:val="2840968E"/>
    <w:rsid w:val="2840CBA3"/>
    <w:rsid w:val="28444AB0"/>
    <w:rsid w:val="2844B7B9"/>
    <w:rsid w:val="2846FDF8"/>
    <w:rsid w:val="284E175A"/>
    <w:rsid w:val="285267FE"/>
    <w:rsid w:val="2853352A"/>
    <w:rsid w:val="2855C09D"/>
    <w:rsid w:val="285CE040"/>
    <w:rsid w:val="28604BC9"/>
    <w:rsid w:val="286282E7"/>
    <w:rsid w:val="2862FB47"/>
    <w:rsid w:val="2873C800"/>
    <w:rsid w:val="2874DDDF"/>
    <w:rsid w:val="2877907F"/>
    <w:rsid w:val="287B3646"/>
    <w:rsid w:val="287B9F0B"/>
    <w:rsid w:val="287D06AF"/>
    <w:rsid w:val="287E36FB"/>
    <w:rsid w:val="2880BA97"/>
    <w:rsid w:val="2883CD14"/>
    <w:rsid w:val="2890DFBC"/>
    <w:rsid w:val="2894E05C"/>
    <w:rsid w:val="289863B4"/>
    <w:rsid w:val="28A4E068"/>
    <w:rsid w:val="28A803BF"/>
    <w:rsid w:val="28A833E9"/>
    <w:rsid w:val="28A914F2"/>
    <w:rsid w:val="28A918DC"/>
    <w:rsid w:val="28AD655C"/>
    <w:rsid w:val="28AFB3FC"/>
    <w:rsid w:val="28B52AE3"/>
    <w:rsid w:val="28BA943F"/>
    <w:rsid w:val="28C54AB4"/>
    <w:rsid w:val="28C9BA4D"/>
    <w:rsid w:val="28D0035E"/>
    <w:rsid w:val="28D417CA"/>
    <w:rsid w:val="28D88435"/>
    <w:rsid w:val="28DB36D4"/>
    <w:rsid w:val="28DF288A"/>
    <w:rsid w:val="28E1369C"/>
    <w:rsid w:val="28E1DF03"/>
    <w:rsid w:val="28E73359"/>
    <w:rsid w:val="28E836AB"/>
    <w:rsid w:val="28E91E7A"/>
    <w:rsid w:val="28EA344A"/>
    <w:rsid w:val="28EA7471"/>
    <w:rsid w:val="28F6A6B0"/>
    <w:rsid w:val="28F8DE66"/>
    <w:rsid w:val="28F9084E"/>
    <w:rsid w:val="29063497"/>
    <w:rsid w:val="290714B7"/>
    <w:rsid w:val="29072D01"/>
    <w:rsid w:val="29092383"/>
    <w:rsid w:val="290C066E"/>
    <w:rsid w:val="2919AF24"/>
    <w:rsid w:val="291B7F28"/>
    <w:rsid w:val="2928A795"/>
    <w:rsid w:val="292BF971"/>
    <w:rsid w:val="292E037F"/>
    <w:rsid w:val="293911A8"/>
    <w:rsid w:val="293FFF04"/>
    <w:rsid w:val="2947CDE9"/>
    <w:rsid w:val="294A4FB2"/>
    <w:rsid w:val="294DEBB8"/>
    <w:rsid w:val="295BCD76"/>
    <w:rsid w:val="29626625"/>
    <w:rsid w:val="29632637"/>
    <w:rsid w:val="296361B3"/>
    <w:rsid w:val="2965B2BE"/>
    <w:rsid w:val="2967F9B7"/>
    <w:rsid w:val="296A034D"/>
    <w:rsid w:val="297542FC"/>
    <w:rsid w:val="29766F3C"/>
    <w:rsid w:val="298260EC"/>
    <w:rsid w:val="298B66EC"/>
    <w:rsid w:val="29968E6F"/>
    <w:rsid w:val="299BE553"/>
    <w:rsid w:val="299BEA61"/>
    <w:rsid w:val="299D8806"/>
    <w:rsid w:val="29A43825"/>
    <w:rsid w:val="29A4E56B"/>
    <w:rsid w:val="29A95806"/>
    <w:rsid w:val="29A9FD9B"/>
    <w:rsid w:val="29AC874E"/>
    <w:rsid w:val="29AE258B"/>
    <w:rsid w:val="29B10B07"/>
    <w:rsid w:val="29B2A577"/>
    <w:rsid w:val="29B4C900"/>
    <w:rsid w:val="29BD3AF1"/>
    <w:rsid w:val="29CA4C5A"/>
    <w:rsid w:val="29DBC8D8"/>
    <w:rsid w:val="29DD04A0"/>
    <w:rsid w:val="29DF762C"/>
    <w:rsid w:val="29E4E9EE"/>
    <w:rsid w:val="29E5D616"/>
    <w:rsid w:val="29E87940"/>
    <w:rsid w:val="29E9555F"/>
    <w:rsid w:val="29F6B73A"/>
    <w:rsid w:val="29FA0EFF"/>
    <w:rsid w:val="2A0199D2"/>
    <w:rsid w:val="2A083211"/>
    <w:rsid w:val="2A0C356E"/>
    <w:rsid w:val="2A0E7A91"/>
    <w:rsid w:val="2A0F57F6"/>
    <w:rsid w:val="2A0FA49F"/>
    <w:rsid w:val="2A129A76"/>
    <w:rsid w:val="2A1813DD"/>
    <w:rsid w:val="2A1C1C03"/>
    <w:rsid w:val="2A1E625F"/>
    <w:rsid w:val="2A1F75D4"/>
    <w:rsid w:val="2A21DBF9"/>
    <w:rsid w:val="2A2BAA81"/>
    <w:rsid w:val="2A386360"/>
    <w:rsid w:val="2A386BA2"/>
    <w:rsid w:val="2A39A045"/>
    <w:rsid w:val="2A3DE7C6"/>
    <w:rsid w:val="2A44E4A3"/>
    <w:rsid w:val="2A5085A9"/>
    <w:rsid w:val="2A521ABC"/>
    <w:rsid w:val="2A585C19"/>
    <w:rsid w:val="2A5A6EE0"/>
    <w:rsid w:val="2A5C8270"/>
    <w:rsid w:val="2A623D5B"/>
    <w:rsid w:val="2A648166"/>
    <w:rsid w:val="2A6971FD"/>
    <w:rsid w:val="2A6F3CB8"/>
    <w:rsid w:val="2A757A9D"/>
    <w:rsid w:val="2A78F27F"/>
    <w:rsid w:val="2A7A361E"/>
    <w:rsid w:val="2A7A487E"/>
    <w:rsid w:val="2A7FE27C"/>
    <w:rsid w:val="2A817C85"/>
    <w:rsid w:val="2A823B6C"/>
    <w:rsid w:val="2A861D5F"/>
    <w:rsid w:val="2A89C37D"/>
    <w:rsid w:val="2A942D2E"/>
    <w:rsid w:val="2A9477C0"/>
    <w:rsid w:val="2A9FA5BE"/>
    <w:rsid w:val="2AA645E4"/>
    <w:rsid w:val="2AA9B831"/>
    <w:rsid w:val="2AAF0781"/>
    <w:rsid w:val="2AAF1717"/>
    <w:rsid w:val="2AB57F36"/>
    <w:rsid w:val="2ABA524B"/>
    <w:rsid w:val="2ABBD2F7"/>
    <w:rsid w:val="2ABF6FDB"/>
    <w:rsid w:val="2AC94AAD"/>
    <w:rsid w:val="2AC9985C"/>
    <w:rsid w:val="2ACA35CC"/>
    <w:rsid w:val="2ACC8A81"/>
    <w:rsid w:val="2ACD988B"/>
    <w:rsid w:val="2AD0D446"/>
    <w:rsid w:val="2AD12059"/>
    <w:rsid w:val="2AD182F3"/>
    <w:rsid w:val="2AD6D4A4"/>
    <w:rsid w:val="2AD82494"/>
    <w:rsid w:val="2ADF1A19"/>
    <w:rsid w:val="2AE30F8C"/>
    <w:rsid w:val="2AE63016"/>
    <w:rsid w:val="2AE6389A"/>
    <w:rsid w:val="2AE695AC"/>
    <w:rsid w:val="2AE7EFA1"/>
    <w:rsid w:val="2AE9F8B2"/>
    <w:rsid w:val="2AEE41D2"/>
    <w:rsid w:val="2AEEE768"/>
    <w:rsid w:val="2AEF449D"/>
    <w:rsid w:val="2AF1AE29"/>
    <w:rsid w:val="2AF34057"/>
    <w:rsid w:val="2AF8F756"/>
    <w:rsid w:val="2AFC17D8"/>
    <w:rsid w:val="2AFD2956"/>
    <w:rsid w:val="2B027EBD"/>
    <w:rsid w:val="2B0AF4AA"/>
    <w:rsid w:val="2B1CD89E"/>
    <w:rsid w:val="2B1DFB5D"/>
    <w:rsid w:val="2B1F82F4"/>
    <w:rsid w:val="2B21B2A2"/>
    <w:rsid w:val="2B2AAD41"/>
    <w:rsid w:val="2B2B88F9"/>
    <w:rsid w:val="2B2BEF36"/>
    <w:rsid w:val="2B36B34D"/>
    <w:rsid w:val="2B37141A"/>
    <w:rsid w:val="2B395F19"/>
    <w:rsid w:val="2B3BEF7E"/>
    <w:rsid w:val="2B3C8CE4"/>
    <w:rsid w:val="2B4496CE"/>
    <w:rsid w:val="2B4EF697"/>
    <w:rsid w:val="2B4F7881"/>
    <w:rsid w:val="2B4FE6DF"/>
    <w:rsid w:val="2B6605F8"/>
    <w:rsid w:val="2B66347D"/>
    <w:rsid w:val="2B684D50"/>
    <w:rsid w:val="2B71735E"/>
    <w:rsid w:val="2B728BE6"/>
    <w:rsid w:val="2B73BA48"/>
    <w:rsid w:val="2B78F30E"/>
    <w:rsid w:val="2B796334"/>
    <w:rsid w:val="2B7B6257"/>
    <w:rsid w:val="2B7D5AFA"/>
    <w:rsid w:val="2B81AC1A"/>
    <w:rsid w:val="2B83D153"/>
    <w:rsid w:val="2B8475A4"/>
    <w:rsid w:val="2B853241"/>
    <w:rsid w:val="2B86E013"/>
    <w:rsid w:val="2B8D7611"/>
    <w:rsid w:val="2B8E2703"/>
    <w:rsid w:val="2B93618F"/>
    <w:rsid w:val="2BA4A677"/>
    <w:rsid w:val="2BA59982"/>
    <w:rsid w:val="2BA7C53E"/>
    <w:rsid w:val="2BB32A35"/>
    <w:rsid w:val="2BB6FDFD"/>
    <w:rsid w:val="2BB8303E"/>
    <w:rsid w:val="2BBE860D"/>
    <w:rsid w:val="2BC68F7C"/>
    <w:rsid w:val="2BD0292F"/>
    <w:rsid w:val="2BD1278A"/>
    <w:rsid w:val="2BD96458"/>
    <w:rsid w:val="2BEB1EBC"/>
    <w:rsid w:val="2BEB255E"/>
    <w:rsid w:val="2BEF8C2B"/>
    <w:rsid w:val="2BF64F82"/>
    <w:rsid w:val="2BF6DEB8"/>
    <w:rsid w:val="2BF81F90"/>
    <w:rsid w:val="2C013949"/>
    <w:rsid w:val="2C035C46"/>
    <w:rsid w:val="2C06F548"/>
    <w:rsid w:val="2C07C07A"/>
    <w:rsid w:val="2C17E60F"/>
    <w:rsid w:val="2C18236B"/>
    <w:rsid w:val="2C1BDB53"/>
    <w:rsid w:val="2C1D58D4"/>
    <w:rsid w:val="2C1F57A7"/>
    <w:rsid w:val="2C27292A"/>
    <w:rsid w:val="2C313A07"/>
    <w:rsid w:val="2C325022"/>
    <w:rsid w:val="2C38CAC7"/>
    <w:rsid w:val="2C4E0C86"/>
    <w:rsid w:val="2C509020"/>
    <w:rsid w:val="2C56A08C"/>
    <w:rsid w:val="2C5E16C9"/>
    <w:rsid w:val="2C5EF4C5"/>
    <w:rsid w:val="2C617F82"/>
    <w:rsid w:val="2C63599B"/>
    <w:rsid w:val="2C70E7A6"/>
    <w:rsid w:val="2C729262"/>
    <w:rsid w:val="2C72AE4B"/>
    <w:rsid w:val="2C75776A"/>
    <w:rsid w:val="2C75F10E"/>
    <w:rsid w:val="2C7F0EC1"/>
    <w:rsid w:val="2C809674"/>
    <w:rsid w:val="2C81856F"/>
    <w:rsid w:val="2C83883E"/>
    <w:rsid w:val="2C8A0120"/>
    <w:rsid w:val="2C98111B"/>
    <w:rsid w:val="2C99143F"/>
    <w:rsid w:val="2C9E7238"/>
    <w:rsid w:val="2CA11083"/>
    <w:rsid w:val="2CA3418D"/>
    <w:rsid w:val="2CA415BF"/>
    <w:rsid w:val="2CA526ED"/>
    <w:rsid w:val="2CA58209"/>
    <w:rsid w:val="2CA79FC6"/>
    <w:rsid w:val="2CB086DB"/>
    <w:rsid w:val="2CB4D7AA"/>
    <w:rsid w:val="2CBC471A"/>
    <w:rsid w:val="2CBE09CA"/>
    <w:rsid w:val="2CC1653E"/>
    <w:rsid w:val="2CCA9359"/>
    <w:rsid w:val="2CD19BD3"/>
    <w:rsid w:val="2CDA2898"/>
    <w:rsid w:val="2CDA7AB2"/>
    <w:rsid w:val="2CDE5A57"/>
    <w:rsid w:val="2CDE950A"/>
    <w:rsid w:val="2CE3916A"/>
    <w:rsid w:val="2CF78475"/>
    <w:rsid w:val="2CFDF636"/>
    <w:rsid w:val="2D044DF5"/>
    <w:rsid w:val="2D0B7F93"/>
    <w:rsid w:val="2D15CB23"/>
    <w:rsid w:val="2D16FC40"/>
    <w:rsid w:val="2D1DFABF"/>
    <w:rsid w:val="2D2916D4"/>
    <w:rsid w:val="2D2953FB"/>
    <w:rsid w:val="2D2C095D"/>
    <w:rsid w:val="2D2D30E2"/>
    <w:rsid w:val="2D2E65E3"/>
    <w:rsid w:val="2D3520CD"/>
    <w:rsid w:val="2D3B669E"/>
    <w:rsid w:val="2D3B91E8"/>
    <w:rsid w:val="2D46B1CD"/>
    <w:rsid w:val="2D474AA1"/>
    <w:rsid w:val="2D4865DC"/>
    <w:rsid w:val="2D488AB0"/>
    <w:rsid w:val="2D4A9B1A"/>
    <w:rsid w:val="2D4C3D3A"/>
    <w:rsid w:val="2D4D5F01"/>
    <w:rsid w:val="2D5C89E8"/>
    <w:rsid w:val="2D5F226D"/>
    <w:rsid w:val="2D5F9095"/>
    <w:rsid w:val="2D5F98B5"/>
    <w:rsid w:val="2D70F4F4"/>
    <w:rsid w:val="2D75D8D9"/>
    <w:rsid w:val="2D7F780C"/>
    <w:rsid w:val="2D8268AB"/>
    <w:rsid w:val="2D860547"/>
    <w:rsid w:val="2D89C73A"/>
    <w:rsid w:val="2D8A1B11"/>
    <w:rsid w:val="2D8C067E"/>
    <w:rsid w:val="2D8F05D0"/>
    <w:rsid w:val="2D8FF1D9"/>
    <w:rsid w:val="2D9200C8"/>
    <w:rsid w:val="2D98522D"/>
    <w:rsid w:val="2DAD3D4A"/>
    <w:rsid w:val="2DB47167"/>
    <w:rsid w:val="2DB8E967"/>
    <w:rsid w:val="2DBD4999"/>
    <w:rsid w:val="2DC2F573"/>
    <w:rsid w:val="2DC3CB29"/>
    <w:rsid w:val="2DC5A636"/>
    <w:rsid w:val="2DCBD302"/>
    <w:rsid w:val="2DCFF003"/>
    <w:rsid w:val="2DCFF142"/>
    <w:rsid w:val="2DD0A740"/>
    <w:rsid w:val="2DD2D1A1"/>
    <w:rsid w:val="2DD5CE69"/>
    <w:rsid w:val="2DDA0E2C"/>
    <w:rsid w:val="2DDB4CC6"/>
    <w:rsid w:val="2DDD94C9"/>
    <w:rsid w:val="2DDEB119"/>
    <w:rsid w:val="2DDF77A4"/>
    <w:rsid w:val="2DE1D300"/>
    <w:rsid w:val="2DEB8276"/>
    <w:rsid w:val="2DEB9F25"/>
    <w:rsid w:val="2DF0F095"/>
    <w:rsid w:val="2DF63176"/>
    <w:rsid w:val="2DFBF9FA"/>
    <w:rsid w:val="2DFC557D"/>
    <w:rsid w:val="2DFFA00C"/>
    <w:rsid w:val="2E0A493B"/>
    <w:rsid w:val="2E0E502E"/>
    <w:rsid w:val="2E1561FE"/>
    <w:rsid w:val="2E1B1A5B"/>
    <w:rsid w:val="2E20F329"/>
    <w:rsid w:val="2E21A8F5"/>
    <w:rsid w:val="2E221C1D"/>
    <w:rsid w:val="2E26ECEA"/>
    <w:rsid w:val="2E2D2CDE"/>
    <w:rsid w:val="2E2E419C"/>
    <w:rsid w:val="2E3065AD"/>
    <w:rsid w:val="2E3334B5"/>
    <w:rsid w:val="2E34B3CB"/>
    <w:rsid w:val="2E34BB3F"/>
    <w:rsid w:val="2E36F948"/>
    <w:rsid w:val="2E37777E"/>
    <w:rsid w:val="2E3E8EF0"/>
    <w:rsid w:val="2E426E5F"/>
    <w:rsid w:val="2E47D649"/>
    <w:rsid w:val="2E48A09C"/>
    <w:rsid w:val="2E5B6730"/>
    <w:rsid w:val="2E5C90F7"/>
    <w:rsid w:val="2E60043E"/>
    <w:rsid w:val="2E628F68"/>
    <w:rsid w:val="2E74ED29"/>
    <w:rsid w:val="2E8641CB"/>
    <w:rsid w:val="2E88F5F1"/>
    <w:rsid w:val="2E896805"/>
    <w:rsid w:val="2E89B79F"/>
    <w:rsid w:val="2E8B5707"/>
    <w:rsid w:val="2E8E0082"/>
    <w:rsid w:val="2E90ED72"/>
    <w:rsid w:val="2E938FBF"/>
    <w:rsid w:val="2E94CF2D"/>
    <w:rsid w:val="2E9961AA"/>
    <w:rsid w:val="2E9B6699"/>
    <w:rsid w:val="2EA1B5F1"/>
    <w:rsid w:val="2EC1239A"/>
    <w:rsid w:val="2EC3AD56"/>
    <w:rsid w:val="2ECCCB93"/>
    <w:rsid w:val="2ED1F8EB"/>
    <w:rsid w:val="2ED3AB65"/>
    <w:rsid w:val="2ED9C03C"/>
    <w:rsid w:val="2EDB463D"/>
    <w:rsid w:val="2F00C399"/>
    <w:rsid w:val="2F05132B"/>
    <w:rsid w:val="2F078318"/>
    <w:rsid w:val="2F104328"/>
    <w:rsid w:val="2F10FB05"/>
    <w:rsid w:val="2F148CD4"/>
    <w:rsid w:val="2F151A83"/>
    <w:rsid w:val="2F340091"/>
    <w:rsid w:val="2F35C6CE"/>
    <w:rsid w:val="2F3BFFB4"/>
    <w:rsid w:val="2F46C99B"/>
    <w:rsid w:val="2F481145"/>
    <w:rsid w:val="2F4D0EBB"/>
    <w:rsid w:val="2F4E3C34"/>
    <w:rsid w:val="2F53C84D"/>
    <w:rsid w:val="2F55954E"/>
    <w:rsid w:val="2F575D02"/>
    <w:rsid w:val="2F62FA6F"/>
    <w:rsid w:val="2F6436D4"/>
    <w:rsid w:val="2F666542"/>
    <w:rsid w:val="2F68C6C8"/>
    <w:rsid w:val="2F70A4BD"/>
    <w:rsid w:val="2F70BCE0"/>
    <w:rsid w:val="2F77F14B"/>
    <w:rsid w:val="2F7E5888"/>
    <w:rsid w:val="2F7F670B"/>
    <w:rsid w:val="2F82885E"/>
    <w:rsid w:val="2F8EFADA"/>
    <w:rsid w:val="2F8F0A99"/>
    <w:rsid w:val="2F985787"/>
    <w:rsid w:val="2F9E579C"/>
    <w:rsid w:val="2FA4D7C8"/>
    <w:rsid w:val="2FA6BBFE"/>
    <w:rsid w:val="2FAA90A2"/>
    <w:rsid w:val="2FACCAFE"/>
    <w:rsid w:val="2FAFDEF8"/>
    <w:rsid w:val="2FB59842"/>
    <w:rsid w:val="2FB8D747"/>
    <w:rsid w:val="2FB96FDF"/>
    <w:rsid w:val="2FC438E4"/>
    <w:rsid w:val="2FC8FDB0"/>
    <w:rsid w:val="2FCF9330"/>
    <w:rsid w:val="2FDDB54B"/>
    <w:rsid w:val="2FE04479"/>
    <w:rsid w:val="2FE0AE45"/>
    <w:rsid w:val="2FE66848"/>
    <w:rsid w:val="2FE78563"/>
    <w:rsid w:val="2FE9D0CB"/>
    <w:rsid w:val="2FEDB372"/>
    <w:rsid w:val="2FEE2EE4"/>
    <w:rsid w:val="2FFC2531"/>
    <w:rsid w:val="3000AD57"/>
    <w:rsid w:val="300BD089"/>
    <w:rsid w:val="3017F26A"/>
    <w:rsid w:val="301B50D5"/>
    <w:rsid w:val="301CA6B2"/>
    <w:rsid w:val="302C0561"/>
    <w:rsid w:val="302D1B9C"/>
    <w:rsid w:val="3031497A"/>
    <w:rsid w:val="3034C460"/>
    <w:rsid w:val="30352BCC"/>
    <w:rsid w:val="303E9450"/>
    <w:rsid w:val="3045FCA9"/>
    <w:rsid w:val="304AB0AB"/>
    <w:rsid w:val="30541FCD"/>
    <w:rsid w:val="3054741F"/>
    <w:rsid w:val="30560E80"/>
    <w:rsid w:val="305A3BCD"/>
    <w:rsid w:val="306084DD"/>
    <w:rsid w:val="3063096A"/>
    <w:rsid w:val="306C15A8"/>
    <w:rsid w:val="3070ADF6"/>
    <w:rsid w:val="307432D1"/>
    <w:rsid w:val="3075785D"/>
    <w:rsid w:val="3078CB67"/>
    <w:rsid w:val="307978ED"/>
    <w:rsid w:val="308347B4"/>
    <w:rsid w:val="30848D94"/>
    <w:rsid w:val="308AED0E"/>
    <w:rsid w:val="308CC43D"/>
    <w:rsid w:val="308DEB44"/>
    <w:rsid w:val="308E0540"/>
    <w:rsid w:val="3090AA08"/>
    <w:rsid w:val="30930A20"/>
    <w:rsid w:val="30985B69"/>
    <w:rsid w:val="309D893F"/>
    <w:rsid w:val="30A07F1B"/>
    <w:rsid w:val="30A31C41"/>
    <w:rsid w:val="30A64B79"/>
    <w:rsid w:val="30AE7A0E"/>
    <w:rsid w:val="30B25BA9"/>
    <w:rsid w:val="30B3437E"/>
    <w:rsid w:val="30B4C5AA"/>
    <w:rsid w:val="30B77218"/>
    <w:rsid w:val="30B89ABE"/>
    <w:rsid w:val="30B8C820"/>
    <w:rsid w:val="30BA74E4"/>
    <w:rsid w:val="30C1E25F"/>
    <w:rsid w:val="30C56C0A"/>
    <w:rsid w:val="30C8DAF7"/>
    <w:rsid w:val="30C940BB"/>
    <w:rsid w:val="30CB50E2"/>
    <w:rsid w:val="30D08304"/>
    <w:rsid w:val="30D218AA"/>
    <w:rsid w:val="30D2AE0D"/>
    <w:rsid w:val="30D666FB"/>
    <w:rsid w:val="30D93C8E"/>
    <w:rsid w:val="30DBD6CF"/>
    <w:rsid w:val="30DED4D4"/>
    <w:rsid w:val="30E49929"/>
    <w:rsid w:val="30EADA96"/>
    <w:rsid w:val="30EB900C"/>
    <w:rsid w:val="30F7C566"/>
    <w:rsid w:val="30FA2174"/>
    <w:rsid w:val="30FB3E96"/>
    <w:rsid w:val="30FDF419"/>
    <w:rsid w:val="3110C270"/>
    <w:rsid w:val="31110388"/>
    <w:rsid w:val="3111518B"/>
    <w:rsid w:val="31141C9B"/>
    <w:rsid w:val="3115F4DE"/>
    <w:rsid w:val="31197534"/>
    <w:rsid w:val="311AFD21"/>
    <w:rsid w:val="311DAFCE"/>
    <w:rsid w:val="312D969F"/>
    <w:rsid w:val="31323DC7"/>
    <w:rsid w:val="31379604"/>
    <w:rsid w:val="314481F3"/>
    <w:rsid w:val="31483DEF"/>
    <w:rsid w:val="314B1950"/>
    <w:rsid w:val="314E2255"/>
    <w:rsid w:val="3151B450"/>
    <w:rsid w:val="315FF281"/>
    <w:rsid w:val="31634740"/>
    <w:rsid w:val="316F410D"/>
    <w:rsid w:val="317357B8"/>
    <w:rsid w:val="317B742A"/>
    <w:rsid w:val="317D381B"/>
    <w:rsid w:val="31819F23"/>
    <w:rsid w:val="3191214C"/>
    <w:rsid w:val="3191BEB0"/>
    <w:rsid w:val="31937134"/>
    <w:rsid w:val="319DED81"/>
    <w:rsid w:val="319EA992"/>
    <w:rsid w:val="31AF7072"/>
    <w:rsid w:val="31B00D28"/>
    <w:rsid w:val="31B151A9"/>
    <w:rsid w:val="31B6687F"/>
    <w:rsid w:val="31BCEC49"/>
    <w:rsid w:val="31BE0502"/>
    <w:rsid w:val="31BEB208"/>
    <w:rsid w:val="31C4B22D"/>
    <w:rsid w:val="31C5D45F"/>
    <w:rsid w:val="31CCF0A2"/>
    <w:rsid w:val="31CE15E9"/>
    <w:rsid w:val="31CEDD54"/>
    <w:rsid w:val="31D0946D"/>
    <w:rsid w:val="31D41826"/>
    <w:rsid w:val="31D6D8E0"/>
    <w:rsid w:val="31E36C96"/>
    <w:rsid w:val="31E776E8"/>
    <w:rsid w:val="31F4F47F"/>
    <w:rsid w:val="31FF9443"/>
    <w:rsid w:val="32016479"/>
    <w:rsid w:val="3211F866"/>
    <w:rsid w:val="3239BE57"/>
    <w:rsid w:val="323C93D9"/>
    <w:rsid w:val="32483E70"/>
    <w:rsid w:val="324E4F4E"/>
    <w:rsid w:val="325D4978"/>
    <w:rsid w:val="325D9859"/>
    <w:rsid w:val="32613297"/>
    <w:rsid w:val="326B1BA8"/>
    <w:rsid w:val="326B36AE"/>
    <w:rsid w:val="32710495"/>
    <w:rsid w:val="3274D233"/>
    <w:rsid w:val="3285FA83"/>
    <w:rsid w:val="3293E1C1"/>
    <w:rsid w:val="329932BF"/>
    <w:rsid w:val="329BBE8E"/>
    <w:rsid w:val="329D67D9"/>
    <w:rsid w:val="329E51B0"/>
    <w:rsid w:val="32A5A0FD"/>
    <w:rsid w:val="32A6291D"/>
    <w:rsid w:val="32A832A7"/>
    <w:rsid w:val="32A8B96C"/>
    <w:rsid w:val="32B25BE6"/>
    <w:rsid w:val="32B4BC61"/>
    <w:rsid w:val="32B83C13"/>
    <w:rsid w:val="32B9EE90"/>
    <w:rsid w:val="32BDFDCD"/>
    <w:rsid w:val="32D6A0AF"/>
    <w:rsid w:val="32DD250D"/>
    <w:rsid w:val="32E0359E"/>
    <w:rsid w:val="32E1934E"/>
    <w:rsid w:val="32E2A90D"/>
    <w:rsid w:val="32E39E81"/>
    <w:rsid w:val="32E56275"/>
    <w:rsid w:val="32E96E3F"/>
    <w:rsid w:val="32EF6D47"/>
    <w:rsid w:val="32F96285"/>
    <w:rsid w:val="32F9C1D8"/>
    <w:rsid w:val="33056232"/>
    <w:rsid w:val="3308EBB7"/>
    <w:rsid w:val="33161E07"/>
    <w:rsid w:val="331A835D"/>
    <w:rsid w:val="33219912"/>
    <w:rsid w:val="332A7BC1"/>
    <w:rsid w:val="332E6422"/>
    <w:rsid w:val="332F13CD"/>
    <w:rsid w:val="3332472C"/>
    <w:rsid w:val="33377187"/>
    <w:rsid w:val="33380A6E"/>
    <w:rsid w:val="33383CFC"/>
    <w:rsid w:val="33396F89"/>
    <w:rsid w:val="333C11AC"/>
    <w:rsid w:val="3351DCBE"/>
    <w:rsid w:val="335A77D6"/>
    <w:rsid w:val="335AB252"/>
    <w:rsid w:val="335C0EE2"/>
    <w:rsid w:val="335E861A"/>
    <w:rsid w:val="3363A0E3"/>
    <w:rsid w:val="3368F8DD"/>
    <w:rsid w:val="336B408B"/>
    <w:rsid w:val="33702FF7"/>
    <w:rsid w:val="3370C909"/>
    <w:rsid w:val="3372F663"/>
    <w:rsid w:val="3373F958"/>
    <w:rsid w:val="33746A1C"/>
    <w:rsid w:val="337E4923"/>
    <w:rsid w:val="3384A2D9"/>
    <w:rsid w:val="3388EAC5"/>
    <w:rsid w:val="338AAF58"/>
    <w:rsid w:val="3391CB93"/>
    <w:rsid w:val="33964A27"/>
    <w:rsid w:val="33982C29"/>
    <w:rsid w:val="3398893D"/>
    <w:rsid w:val="339F15FC"/>
    <w:rsid w:val="33A1A9B2"/>
    <w:rsid w:val="33A47BE6"/>
    <w:rsid w:val="33B06A14"/>
    <w:rsid w:val="33B4674E"/>
    <w:rsid w:val="33B663BE"/>
    <w:rsid w:val="33BE3D98"/>
    <w:rsid w:val="33BECBA0"/>
    <w:rsid w:val="33C780A0"/>
    <w:rsid w:val="33C86EFF"/>
    <w:rsid w:val="33C8C3D8"/>
    <w:rsid w:val="33C8C853"/>
    <w:rsid w:val="33CCBF7E"/>
    <w:rsid w:val="33CEE60D"/>
    <w:rsid w:val="33D55359"/>
    <w:rsid w:val="33DC57A6"/>
    <w:rsid w:val="33E0D3C0"/>
    <w:rsid w:val="33E75418"/>
    <w:rsid w:val="33E91DD6"/>
    <w:rsid w:val="33E9D35D"/>
    <w:rsid w:val="33EF4F81"/>
    <w:rsid w:val="33F00AC3"/>
    <w:rsid w:val="33F1872F"/>
    <w:rsid w:val="33F2EDCD"/>
    <w:rsid w:val="33F539C3"/>
    <w:rsid w:val="33F757E9"/>
    <w:rsid w:val="33FC6564"/>
    <w:rsid w:val="33FD9A37"/>
    <w:rsid w:val="33FE35DD"/>
    <w:rsid w:val="3400B0E3"/>
    <w:rsid w:val="3404D51B"/>
    <w:rsid w:val="3409E9F4"/>
    <w:rsid w:val="340CFC8D"/>
    <w:rsid w:val="34199434"/>
    <w:rsid w:val="341BF869"/>
    <w:rsid w:val="3422A621"/>
    <w:rsid w:val="342817B1"/>
    <w:rsid w:val="342AAACB"/>
    <w:rsid w:val="342B7819"/>
    <w:rsid w:val="343210D9"/>
    <w:rsid w:val="343657F8"/>
    <w:rsid w:val="34366A15"/>
    <w:rsid w:val="343A9172"/>
    <w:rsid w:val="3441B6EA"/>
    <w:rsid w:val="34476E61"/>
    <w:rsid w:val="3454B491"/>
    <w:rsid w:val="34584EC3"/>
    <w:rsid w:val="345CB11A"/>
    <w:rsid w:val="34672597"/>
    <w:rsid w:val="346893D3"/>
    <w:rsid w:val="346DECE5"/>
    <w:rsid w:val="34701058"/>
    <w:rsid w:val="34721267"/>
    <w:rsid w:val="34733FD2"/>
    <w:rsid w:val="347D060D"/>
    <w:rsid w:val="347F57CD"/>
    <w:rsid w:val="34800C8B"/>
    <w:rsid w:val="34814E62"/>
    <w:rsid w:val="34817BE6"/>
    <w:rsid w:val="3487E4E3"/>
    <w:rsid w:val="348A01A2"/>
    <w:rsid w:val="348B90C0"/>
    <w:rsid w:val="34936AE5"/>
    <w:rsid w:val="3493A8FE"/>
    <w:rsid w:val="349A177E"/>
    <w:rsid w:val="349F4A31"/>
    <w:rsid w:val="34A1F3C8"/>
    <w:rsid w:val="34A4AC5F"/>
    <w:rsid w:val="34A573F5"/>
    <w:rsid w:val="34B0D1DD"/>
    <w:rsid w:val="34B408CB"/>
    <w:rsid w:val="34B4F32E"/>
    <w:rsid w:val="34B5F01F"/>
    <w:rsid w:val="34B81164"/>
    <w:rsid w:val="34BDC9BE"/>
    <w:rsid w:val="34C1FA19"/>
    <w:rsid w:val="34C6F69D"/>
    <w:rsid w:val="34D6A439"/>
    <w:rsid w:val="34E33757"/>
    <w:rsid w:val="34E3F783"/>
    <w:rsid w:val="34E7AD9F"/>
    <w:rsid w:val="34F160F4"/>
    <w:rsid w:val="34F4ED22"/>
    <w:rsid w:val="34F79463"/>
    <w:rsid w:val="34F8CE5D"/>
    <w:rsid w:val="34FB994B"/>
    <w:rsid w:val="350032DA"/>
    <w:rsid w:val="35006288"/>
    <w:rsid w:val="35063C57"/>
    <w:rsid w:val="350CBA4F"/>
    <w:rsid w:val="350CEF61"/>
    <w:rsid w:val="350E9169"/>
    <w:rsid w:val="3511D183"/>
    <w:rsid w:val="3515777D"/>
    <w:rsid w:val="3515DF4E"/>
    <w:rsid w:val="3521BA62"/>
    <w:rsid w:val="3527CCF8"/>
    <w:rsid w:val="352F1FDB"/>
    <w:rsid w:val="353E023D"/>
    <w:rsid w:val="354087C2"/>
    <w:rsid w:val="35427B18"/>
    <w:rsid w:val="35442561"/>
    <w:rsid w:val="354AF384"/>
    <w:rsid w:val="35532E8B"/>
    <w:rsid w:val="3554605D"/>
    <w:rsid w:val="355899D1"/>
    <w:rsid w:val="35598CCE"/>
    <w:rsid w:val="35618D8B"/>
    <w:rsid w:val="356393BA"/>
    <w:rsid w:val="356666F9"/>
    <w:rsid w:val="35666C8B"/>
    <w:rsid w:val="356F915E"/>
    <w:rsid w:val="35781D77"/>
    <w:rsid w:val="357BD9FF"/>
    <w:rsid w:val="3581D46A"/>
    <w:rsid w:val="3582FB9A"/>
    <w:rsid w:val="358D823F"/>
    <w:rsid w:val="358FF8B9"/>
    <w:rsid w:val="35902591"/>
    <w:rsid w:val="3591C6DF"/>
    <w:rsid w:val="359CEFEC"/>
    <w:rsid w:val="35A17F99"/>
    <w:rsid w:val="35A221A5"/>
    <w:rsid w:val="35A29BC4"/>
    <w:rsid w:val="35A3CE0B"/>
    <w:rsid w:val="35A735C1"/>
    <w:rsid w:val="35B2D95F"/>
    <w:rsid w:val="35B5155C"/>
    <w:rsid w:val="35BA35F4"/>
    <w:rsid w:val="35BFF09B"/>
    <w:rsid w:val="35D4E9B8"/>
    <w:rsid w:val="35D93959"/>
    <w:rsid w:val="35E7D4FE"/>
    <w:rsid w:val="35F3564C"/>
    <w:rsid w:val="35F3D11A"/>
    <w:rsid w:val="35F471D4"/>
    <w:rsid w:val="36107C7A"/>
    <w:rsid w:val="36118E9D"/>
    <w:rsid w:val="36164511"/>
    <w:rsid w:val="361A22B8"/>
    <w:rsid w:val="36202E4D"/>
    <w:rsid w:val="362A746E"/>
    <w:rsid w:val="362B32A5"/>
    <w:rsid w:val="362EEED2"/>
    <w:rsid w:val="36346C29"/>
    <w:rsid w:val="363E6DE3"/>
    <w:rsid w:val="364226D1"/>
    <w:rsid w:val="36424A90"/>
    <w:rsid w:val="3643A007"/>
    <w:rsid w:val="3644F425"/>
    <w:rsid w:val="36480F18"/>
    <w:rsid w:val="364C3BB9"/>
    <w:rsid w:val="364D71AE"/>
    <w:rsid w:val="365212D9"/>
    <w:rsid w:val="36533A3A"/>
    <w:rsid w:val="365935FB"/>
    <w:rsid w:val="366960AA"/>
    <w:rsid w:val="366AE845"/>
    <w:rsid w:val="366ECDFC"/>
    <w:rsid w:val="366F31BD"/>
    <w:rsid w:val="366F5650"/>
    <w:rsid w:val="36735BF6"/>
    <w:rsid w:val="367776E1"/>
    <w:rsid w:val="3677C5C3"/>
    <w:rsid w:val="3677D3B0"/>
    <w:rsid w:val="367AD2C4"/>
    <w:rsid w:val="367D1B08"/>
    <w:rsid w:val="36805DBF"/>
    <w:rsid w:val="3682AB03"/>
    <w:rsid w:val="36870227"/>
    <w:rsid w:val="3688F55B"/>
    <w:rsid w:val="368BDBE7"/>
    <w:rsid w:val="368C8FD0"/>
    <w:rsid w:val="368E8B51"/>
    <w:rsid w:val="369D4F80"/>
    <w:rsid w:val="36A3B843"/>
    <w:rsid w:val="36AC3001"/>
    <w:rsid w:val="36B1B83D"/>
    <w:rsid w:val="36B23447"/>
    <w:rsid w:val="36B479F8"/>
    <w:rsid w:val="36BB4918"/>
    <w:rsid w:val="36BF7416"/>
    <w:rsid w:val="36C62169"/>
    <w:rsid w:val="36C6B9C4"/>
    <w:rsid w:val="36C7C500"/>
    <w:rsid w:val="36CC4EF5"/>
    <w:rsid w:val="36CE9DC8"/>
    <w:rsid w:val="36D36A00"/>
    <w:rsid w:val="36D44B8E"/>
    <w:rsid w:val="36D4E6C7"/>
    <w:rsid w:val="36D65BD4"/>
    <w:rsid w:val="36D7E4B2"/>
    <w:rsid w:val="36D96B99"/>
    <w:rsid w:val="36DE30D7"/>
    <w:rsid w:val="36E0149A"/>
    <w:rsid w:val="36E5A650"/>
    <w:rsid w:val="36E9CE0B"/>
    <w:rsid w:val="36EA482A"/>
    <w:rsid w:val="36EC8475"/>
    <w:rsid w:val="36EC9645"/>
    <w:rsid w:val="36F2D0C1"/>
    <w:rsid w:val="36F33106"/>
    <w:rsid w:val="370044F4"/>
    <w:rsid w:val="37114A0E"/>
    <w:rsid w:val="3718EE6D"/>
    <w:rsid w:val="371A5393"/>
    <w:rsid w:val="37212480"/>
    <w:rsid w:val="37249C36"/>
    <w:rsid w:val="3724B2DD"/>
    <w:rsid w:val="37292DEE"/>
    <w:rsid w:val="3732F1DD"/>
    <w:rsid w:val="3735ACF4"/>
    <w:rsid w:val="373748FC"/>
    <w:rsid w:val="373DF0A1"/>
    <w:rsid w:val="37419F8D"/>
    <w:rsid w:val="3744228A"/>
    <w:rsid w:val="3746EAC6"/>
    <w:rsid w:val="374C36BF"/>
    <w:rsid w:val="3750ADD4"/>
    <w:rsid w:val="3754AC00"/>
    <w:rsid w:val="37558EAC"/>
    <w:rsid w:val="3758BE53"/>
    <w:rsid w:val="37648FE6"/>
    <w:rsid w:val="37654067"/>
    <w:rsid w:val="3766103B"/>
    <w:rsid w:val="3766D70E"/>
    <w:rsid w:val="376DD242"/>
    <w:rsid w:val="377212FB"/>
    <w:rsid w:val="377241BE"/>
    <w:rsid w:val="37792096"/>
    <w:rsid w:val="378126B3"/>
    <w:rsid w:val="378128B3"/>
    <w:rsid w:val="37829663"/>
    <w:rsid w:val="37AD2A26"/>
    <w:rsid w:val="37B32036"/>
    <w:rsid w:val="37B7E7DF"/>
    <w:rsid w:val="37B99622"/>
    <w:rsid w:val="37C087D0"/>
    <w:rsid w:val="37C10EEC"/>
    <w:rsid w:val="37C43ADD"/>
    <w:rsid w:val="37C530CC"/>
    <w:rsid w:val="37CA038D"/>
    <w:rsid w:val="37CC44F5"/>
    <w:rsid w:val="37CE3F8B"/>
    <w:rsid w:val="37D5D867"/>
    <w:rsid w:val="37DE79A0"/>
    <w:rsid w:val="37E45670"/>
    <w:rsid w:val="37EB63E3"/>
    <w:rsid w:val="37EFF8D5"/>
    <w:rsid w:val="37F13D63"/>
    <w:rsid w:val="37F35821"/>
    <w:rsid w:val="37F5D228"/>
    <w:rsid w:val="37F92E3E"/>
    <w:rsid w:val="380259DB"/>
    <w:rsid w:val="3809CBD1"/>
    <w:rsid w:val="380EF224"/>
    <w:rsid w:val="380F93E0"/>
    <w:rsid w:val="3813A6F3"/>
    <w:rsid w:val="381999B2"/>
    <w:rsid w:val="381B20CC"/>
    <w:rsid w:val="381B7B97"/>
    <w:rsid w:val="382295CE"/>
    <w:rsid w:val="38249E26"/>
    <w:rsid w:val="382C883F"/>
    <w:rsid w:val="382ED2AF"/>
    <w:rsid w:val="382ED2E7"/>
    <w:rsid w:val="38382C49"/>
    <w:rsid w:val="383A3A94"/>
    <w:rsid w:val="383E455E"/>
    <w:rsid w:val="38479FDC"/>
    <w:rsid w:val="384D5CE2"/>
    <w:rsid w:val="385494C7"/>
    <w:rsid w:val="385742C3"/>
    <w:rsid w:val="385C0D96"/>
    <w:rsid w:val="385E7950"/>
    <w:rsid w:val="38645215"/>
    <w:rsid w:val="3867BD5B"/>
    <w:rsid w:val="386BF498"/>
    <w:rsid w:val="386E1DC3"/>
    <w:rsid w:val="386FA531"/>
    <w:rsid w:val="3873B743"/>
    <w:rsid w:val="3879D020"/>
    <w:rsid w:val="387BFA6F"/>
    <w:rsid w:val="3884E0FB"/>
    <w:rsid w:val="3884F3B7"/>
    <w:rsid w:val="3887AC06"/>
    <w:rsid w:val="38995F0A"/>
    <w:rsid w:val="38A1963F"/>
    <w:rsid w:val="38B3B42F"/>
    <w:rsid w:val="38B80DC3"/>
    <w:rsid w:val="38B8F3BB"/>
    <w:rsid w:val="38BBBB36"/>
    <w:rsid w:val="38D3F261"/>
    <w:rsid w:val="38D55245"/>
    <w:rsid w:val="38DE09AB"/>
    <w:rsid w:val="38E42785"/>
    <w:rsid w:val="38E5D8B1"/>
    <w:rsid w:val="38E9FCF4"/>
    <w:rsid w:val="38EA9FD6"/>
    <w:rsid w:val="38ED0E3D"/>
    <w:rsid w:val="38F11C7D"/>
    <w:rsid w:val="38F3539D"/>
    <w:rsid w:val="38F5C7A6"/>
    <w:rsid w:val="38F9550D"/>
    <w:rsid w:val="38FE2246"/>
    <w:rsid w:val="39018484"/>
    <w:rsid w:val="390300C3"/>
    <w:rsid w:val="3906D9C9"/>
    <w:rsid w:val="390AD281"/>
    <w:rsid w:val="3910C4A5"/>
    <w:rsid w:val="3914B506"/>
    <w:rsid w:val="391991B6"/>
    <w:rsid w:val="391B9E4B"/>
    <w:rsid w:val="391E607E"/>
    <w:rsid w:val="3922EB4F"/>
    <w:rsid w:val="39259DB3"/>
    <w:rsid w:val="3926C68A"/>
    <w:rsid w:val="3927DB31"/>
    <w:rsid w:val="392BB96A"/>
    <w:rsid w:val="392D8191"/>
    <w:rsid w:val="3937902F"/>
    <w:rsid w:val="393FBF28"/>
    <w:rsid w:val="394C9CF3"/>
    <w:rsid w:val="394CE855"/>
    <w:rsid w:val="394F0AF3"/>
    <w:rsid w:val="39539B83"/>
    <w:rsid w:val="39683247"/>
    <w:rsid w:val="3969C7BD"/>
    <w:rsid w:val="3969DA3F"/>
    <w:rsid w:val="39718616"/>
    <w:rsid w:val="3977645C"/>
    <w:rsid w:val="39817270"/>
    <w:rsid w:val="398B5CE2"/>
    <w:rsid w:val="398EBF24"/>
    <w:rsid w:val="39908AE1"/>
    <w:rsid w:val="399700CB"/>
    <w:rsid w:val="3997089A"/>
    <w:rsid w:val="399A72BC"/>
    <w:rsid w:val="399F4C8B"/>
    <w:rsid w:val="39A1295F"/>
    <w:rsid w:val="39A59A58"/>
    <w:rsid w:val="39A8AAC1"/>
    <w:rsid w:val="39B7F3C2"/>
    <w:rsid w:val="39B972DC"/>
    <w:rsid w:val="39C0CA05"/>
    <w:rsid w:val="39C7B5F1"/>
    <w:rsid w:val="39CA21DF"/>
    <w:rsid w:val="39CB3E1A"/>
    <w:rsid w:val="39D085F2"/>
    <w:rsid w:val="39D64883"/>
    <w:rsid w:val="39DA59BC"/>
    <w:rsid w:val="39DBB918"/>
    <w:rsid w:val="39DC2DE1"/>
    <w:rsid w:val="39E94D23"/>
    <w:rsid w:val="39E9622F"/>
    <w:rsid w:val="39EBB4A8"/>
    <w:rsid w:val="39F31B2A"/>
    <w:rsid w:val="39F73C8B"/>
    <w:rsid w:val="39F77E3A"/>
    <w:rsid w:val="39F7E61B"/>
    <w:rsid w:val="39FD7BB2"/>
    <w:rsid w:val="39FDD29C"/>
    <w:rsid w:val="3A0A0333"/>
    <w:rsid w:val="3A10E564"/>
    <w:rsid w:val="3A154BE0"/>
    <w:rsid w:val="3A19549B"/>
    <w:rsid w:val="3A1C5F01"/>
    <w:rsid w:val="3A1F7E13"/>
    <w:rsid w:val="3A21019C"/>
    <w:rsid w:val="3A2440D0"/>
    <w:rsid w:val="3A2C5BFE"/>
    <w:rsid w:val="3A2C969C"/>
    <w:rsid w:val="3A2FEFFC"/>
    <w:rsid w:val="3A36209F"/>
    <w:rsid w:val="3A395CE6"/>
    <w:rsid w:val="3A3C4ACC"/>
    <w:rsid w:val="3A41B778"/>
    <w:rsid w:val="3A4BCE51"/>
    <w:rsid w:val="3A53ABC4"/>
    <w:rsid w:val="3A5FA7CA"/>
    <w:rsid w:val="3A67BA23"/>
    <w:rsid w:val="3A6DA670"/>
    <w:rsid w:val="3A6F27A7"/>
    <w:rsid w:val="3A7FD555"/>
    <w:rsid w:val="3A8274EB"/>
    <w:rsid w:val="3A8971C7"/>
    <w:rsid w:val="3A8F5602"/>
    <w:rsid w:val="3A9468E2"/>
    <w:rsid w:val="3A999578"/>
    <w:rsid w:val="3A9A7395"/>
    <w:rsid w:val="3A9C80E7"/>
    <w:rsid w:val="3AA4502C"/>
    <w:rsid w:val="3AA51E33"/>
    <w:rsid w:val="3AA6E0BC"/>
    <w:rsid w:val="3AA8391A"/>
    <w:rsid w:val="3AAC3AA3"/>
    <w:rsid w:val="3AAE0F5F"/>
    <w:rsid w:val="3AB2558D"/>
    <w:rsid w:val="3AB97C3C"/>
    <w:rsid w:val="3ABEEC8C"/>
    <w:rsid w:val="3ABFB32E"/>
    <w:rsid w:val="3AC1AFE7"/>
    <w:rsid w:val="3AC3168D"/>
    <w:rsid w:val="3AC6F245"/>
    <w:rsid w:val="3AC8ADF8"/>
    <w:rsid w:val="3ACAA169"/>
    <w:rsid w:val="3ACABD4E"/>
    <w:rsid w:val="3ACC2B77"/>
    <w:rsid w:val="3AD8FCAF"/>
    <w:rsid w:val="3ADF7844"/>
    <w:rsid w:val="3AE10130"/>
    <w:rsid w:val="3AE186B4"/>
    <w:rsid w:val="3AE1B941"/>
    <w:rsid w:val="3AE344D7"/>
    <w:rsid w:val="3AE381E0"/>
    <w:rsid w:val="3B05F206"/>
    <w:rsid w:val="3B06575E"/>
    <w:rsid w:val="3B077819"/>
    <w:rsid w:val="3B08455D"/>
    <w:rsid w:val="3B114AB4"/>
    <w:rsid w:val="3B139739"/>
    <w:rsid w:val="3B15E5E6"/>
    <w:rsid w:val="3B1A0DB1"/>
    <w:rsid w:val="3B1ED70F"/>
    <w:rsid w:val="3B27DEB4"/>
    <w:rsid w:val="3B2B7F07"/>
    <w:rsid w:val="3B354A0C"/>
    <w:rsid w:val="3B392C47"/>
    <w:rsid w:val="3B3A88C5"/>
    <w:rsid w:val="3B3C3022"/>
    <w:rsid w:val="3B3D3E14"/>
    <w:rsid w:val="3B414BEC"/>
    <w:rsid w:val="3B43B8BA"/>
    <w:rsid w:val="3B53A087"/>
    <w:rsid w:val="3B556028"/>
    <w:rsid w:val="3B59108E"/>
    <w:rsid w:val="3B5C2FB0"/>
    <w:rsid w:val="3B6D1152"/>
    <w:rsid w:val="3B7AD42C"/>
    <w:rsid w:val="3B8949C8"/>
    <w:rsid w:val="3B8D1D92"/>
    <w:rsid w:val="3B91A599"/>
    <w:rsid w:val="3B91EF4D"/>
    <w:rsid w:val="3BAAA3D6"/>
    <w:rsid w:val="3BB104C8"/>
    <w:rsid w:val="3BB33C3F"/>
    <w:rsid w:val="3BB893E5"/>
    <w:rsid w:val="3BB9F2EC"/>
    <w:rsid w:val="3BC34319"/>
    <w:rsid w:val="3BC6CAEE"/>
    <w:rsid w:val="3BCAE41B"/>
    <w:rsid w:val="3BCD91B8"/>
    <w:rsid w:val="3BD42ABC"/>
    <w:rsid w:val="3BD8D6B8"/>
    <w:rsid w:val="3BD908A4"/>
    <w:rsid w:val="3BE3409A"/>
    <w:rsid w:val="3BEA0254"/>
    <w:rsid w:val="3BF4D2E4"/>
    <w:rsid w:val="3BF74CD9"/>
    <w:rsid w:val="3BFA0754"/>
    <w:rsid w:val="3BFF6491"/>
    <w:rsid w:val="3BFF9686"/>
    <w:rsid w:val="3C02189B"/>
    <w:rsid w:val="3C0465B1"/>
    <w:rsid w:val="3C0BBA80"/>
    <w:rsid w:val="3C0E701A"/>
    <w:rsid w:val="3C0E9464"/>
    <w:rsid w:val="3C0F8952"/>
    <w:rsid w:val="3C16DD48"/>
    <w:rsid w:val="3C186BE5"/>
    <w:rsid w:val="3C18DBCA"/>
    <w:rsid w:val="3C23D031"/>
    <w:rsid w:val="3C257493"/>
    <w:rsid w:val="3C281711"/>
    <w:rsid w:val="3C290498"/>
    <w:rsid w:val="3C2D393C"/>
    <w:rsid w:val="3C311CD8"/>
    <w:rsid w:val="3C34EE23"/>
    <w:rsid w:val="3C41363C"/>
    <w:rsid w:val="3C4F1670"/>
    <w:rsid w:val="3C568D8E"/>
    <w:rsid w:val="3C5900DC"/>
    <w:rsid w:val="3C5CFEC0"/>
    <w:rsid w:val="3C61C6EB"/>
    <w:rsid w:val="3C64FB4C"/>
    <w:rsid w:val="3C67315D"/>
    <w:rsid w:val="3C6A7EBF"/>
    <w:rsid w:val="3C701AE0"/>
    <w:rsid w:val="3C726F07"/>
    <w:rsid w:val="3C736597"/>
    <w:rsid w:val="3C772AEE"/>
    <w:rsid w:val="3C786A54"/>
    <w:rsid w:val="3C7B6EDC"/>
    <w:rsid w:val="3C7E0775"/>
    <w:rsid w:val="3C816B1E"/>
    <w:rsid w:val="3C89C943"/>
    <w:rsid w:val="3C8FB402"/>
    <w:rsid w:val="3C919E7E"/>
    <w:rsid w:val="3C931397"/>
    <w:rsid w:val="3C945826"/>
    <w:rsid w:val="3C9B5DD5"/>
    <w:rsid w:val="3C9ED316"/>
    <w:rsid w:val="3CA5E254"/>
    <w:rsid w:val="3CAC267E"/>
    <w:rsid w:val="3CB1AC7B"/>
    <w:rsid w:val="3CB30708"/>
    <w:rsid w:val="3CB53785"/>
    <w:rsid w:val="3CBBEEA0"/>
    <w:rsid w:val="3CBD8D86"/>
    <w:rsid w:val="3CC2603F"/>
    <w:rsid w:val="3CC7A16E"/>
    <w:rsid w:val="3CD4A1C7"/>
    <w:rsid w:val="3CD5174C"/>
    <w:rsid w:val="3CE06933"/>
    <w:rsid w:val="3CE4045A"/>
    <w:rsid w:val="3CE81613"/>
    <w:rsid w:val="3CE8F603"/>
    <w:rsid w:val="3CE9D3CB"/>
    <w:rsid w:val="3CF2DE19"/>
    <w:rsid w:val="3CF9D33A"/>
    <w:rsid w:val="3CFBD9DA"/>
    <w:rsid w:val="3D06BD23"/>
    <w:rsid w:val="3D0F668C"/>
    <w:rsid w:val="3D1467BD"/>
    <w:rsid w:val="3D14D4EB"/>
    <w:rsid w:val="3D1A4703"/>
    <w:rsid w:val="3D1BEC27"/>
    <w:rsid w:val="3D21EB33"/>
    <w:rsid w:val="3D2346DA"/>
    <w:rsid w:val="3D236290"/>
    <w:rsid w:val="3D305D70"/>
    <w:rsid w:val="3D3494DF"/>
    <w:rsid w:val="3D34F971"/>
    <w:rsid w:val="3D35DD61"/>
    <w:rsid w:val="3D39B43E"/>
    <w:rsid w:val="3D40B3A8"/>
    <w:rsid w:val="3D413B17"/>
    <w:rsid w:val="3D534D24"/>
    <w:rsid w:val="3D53F232"/>
    <w:rsid w:val="3D59D384"/>
    <w:rsid w:val="3D5DF4DD"/>
    <w:rsid w:val="3D632635"/>
    <w:rsid w:val="3D670081"/>
    <w:rsid w:val="3D67C626"/>
    <w:rsid w:val="3D68EB46"/>
    <w:rsid w:val="3D6BF7C5"/>
    <w:rsid w:val="3D71B668"/>
    <w:rsid w:val="3D758A62"/>
    <w:rsid w:val="3D791AB9"/>
    <w:rsid w:val="3D7AFC16"/>
    <w:rsid w:val="3D7FCE8C"/>
    <w:rsid w:val="3D80AC2D"/>
    <w:rsid w:val="3D813393"/>
    <w:rsid w:val="3D827843"/>
    <w:rsid w:val="3D867749"/>
    <w:rsid w:val="3D8C6389"/>
    <w:rsid w:val="3D91A9B5"/>
    <w:rsid w:val="3D92B58E"/>
    <w:rsid w:val="3D94CC4D"/>
    <w:rsid w:val="3D97F161"/>
    <w:rsid w:val="3D9CA555"/>
    <w:rsid w:val="3D9F40E6"/>
    <w:rsid w:val="3DA2762A"/>
    <w:rsid w:val="3DAFAD30"/>
    <w:rsid w:val="3DB0BE0D"/>
    <w:rsid w:val="3DB186B5"/>
    <w:rsid w:val="3DBD7559"/>
    <w:rsid w:val="3DC1F18A"/>
    <w:rsid w:val="3DC65E50"/>
    <w:rsid w:val="3DCBADAA"/>
    <w:rsid w:val="3DDD63BE"/>
    <w:rsid w:val="3DE40A45"/>
    <w:rsid w:val="3DE9F628"/>
    <w:rsid w:val="3DEAC2FA"/>
    <w:rsid w:val="3DEE4FEF"/>
    <w:rsid w:val="3DF03866"/>
    <w:rsid w:val="3E01979F"/>
    <w:rsid w:val="3E081477"/>
    <w:rsid w:val="3E095F2D"/>
    <w:rsid w:val="3E101935"/>
    <w:rsid w:val="3E197EB1"/>
    <w:rsid w:val="3E1D3DAB"/>
    <w:rsid w:val="3E1FF71D"/>
    <w:rsid w:val="3E20DC4D"/>
    <w:rsid w:val="3E33A008"/>
    <w:rsid w:val="3E36C273"/>
    <w:rsid w:val="3E3F61CA"/>
    <w:rsid w:val="3E42238D"/>
    <w:rsid w:val="3E429AC1"/>
    <w:rsid w:val="3E481C41"/>
    <w:rsid w:val="3E4A2892"/>
    <w:rsid w:val="3E4C0EB4"/>
    <w:rsid w:val="3E53CC58"/>
    <w:rsid w:val="3E56319A"/>
    <w:rsid w:val="3E58DC41"/>
    <w:rsid w:val="3E678612"/>
    <w:rsid w:val="3E688F55"/>
    <w:rsid w:val="3E698DF0"/>
    <w:rsid w:val="3E77173C"/>
    <w:rsid w:val="3E7ABBD1"/>
    <w:rsid w:val="3E842563"/>
    <w:rsid w:val="3E87E858"/>
    <w:rsid w:val="3E8B12FD"/>
    <w:rsid w:val="3E8CD6DA"/>
    <w:rsid w:val="3E8FB846"/>
    <w:rsid w:val="3E911F93"/>
    <w:rsid w:val="3EA2D92C"/>
    <w:rsid w:val="3EA59695"/>
    <w:rsid w:val="3EA80505"/>
    <w:rsid w:val="3EACD815"/>
    <w:rsid w:val="3EB2229D"/>
    <w:rsid w:val="3EB492C4"/>
    <w:rsid w:val="3EB8E38F"/>
    <w:rsid w:val="3EC41A3D"/>
    <w:rsid w:val="3EC568C3"/>
    <w:rsid w:val="3ECE104D"/>
    <w:rsid w:val="3ED6B301"/>
    <w:rsid w:val="3ED6E64F"/>
    <w:rsid w:val="3EDD9635"/>
    <w:rsid w:val="3EDF56CA"/>
    <w:rsid w:val="3EE17505"/>
    <w:rsid w:val="3EE1FE16"/>
    <w:rsid w:val="3EE29417"/>
    <w:rsid w:val="3EE46A61"/>
    <w:rsid w:val="3EE7DEB6"/>
    <w:rsid w:val="3EEF81C7"/>
    <w:rsid w:val="3EF02459"/>
    <w:rsid w:val="3EF634F6"/>
    <w:rsid w:val="3F071E4F"/>
    <w:rsid w:val="3F103A4D"/>
    <w:rsid w:val="3F134F1F"/>
    <w:rsid w:val="3F13AE35"/>
    <w:rsid w:val="3F170921"/>
    <w:rsid w:val="3F176311"/>
    <w:rsid w:val="3F1C9ECA"/>
    <w:rsid w:val="3F1FA39C"/>
    <w:rsid w:val="3F254835"/>
    <w:rsid w:val="3F2A9A4E"/>
    <w:rsid w:val="3F2C3E62"/>
    <w:rsid w:val="3F2E8B8D"/>
    <w:rsid w:val="3F2F885A"/>
    <w:rsid w:val="3F37D96D"/>
    <w:rsid w:val="3F39078C"/>
    <w:rsid w:val="3F3C9F55"/>
    <w:rsid w:val="3F3EDD54"/>
    <w:rsid w:val="3F44CB3A"/>
    <w:rsid w:val="3F45C41F"/>
    <w:rsid w:val="3F48A193"/>
    <w:rsid w:val="3F5237A7"/>
    <w:rsid w:val="3F56542E"/>
    <w:rsid w:val="3F728799"/>
    <w:rsid w:val="3F76AC4B"/>
    <w:rsid w:val="3F7E24F4"/>
    <w:rsid w:val="3F813D4C"/>
    <w:rsid w:val="3F846619"/>
    <w:rsid w:val="3F882FED"/>
    <w:rsid w:val="3F8AFEF0"/>
    <w:rsid w:val="3F8DAF23"/>
    <w:rsid w:val="3F92F196"/>
    <w:rsid w:val="3F9589A3"/>
    <w:rsid w:val="3F96B057"/>
    <w:rsid w:val="3FA0A963"/>
    <w:rsid w:val="3FA494F1"/>
    <w:rsid w:val="3FA89101"/>
    <w:rsid w:val="3FABDA7B"/>
    <w:rsid w:val="3FB1F789"/>
    <w:rsid w:val="3FB58616"/>
    <w:rsid w:val="3FC4E374"/>
    <w:rsid w:val="3FCD387F"/>
    <w:rsid w:val="3FCD9618"/>
    <w:rsid w:val="3FD6140B"/>
    <w:rsid w:val="3FD827F1"/>
    <w:rsid w:val="3FE4E0ED"/>
    <w:rsid w:val="3FE570FC"/>
    <w:rsid w:val="3FE81F63"/>
    <w:rsid w:val="3FEC64B4"/>
    <w:rsid w:val="3FEC93A4"/>
    <w:rsid w:val="3FF3B121"/>
    <w:rsid w:val="3FF47B23"/>
    <w:rsid w:val="3FF7E5D4"/>
    <w:rsid w:val="3FF9C7C7"/>
    <w:rsid w:val="40042D31"/>
    <w:rsid w:val="400677EE"/>
    <w:rsid w:val="40079481"/>
    <w:rsid w:val="400B4933"/>
    <w:rsid w:val="400F6992"/>
    <w:rsid w:val="40157A2C"/>
    <w:rsid w:val="4016F85D"/>
    <w:rsid w:val="401F5972"/>
    <w:rsid w:val="4023921C"/>
    <w:rsid w:val="403159C9"/>
    <w:rsid w:val="4037E2E9"/>
    <w:rsid w:val="40442086"/>
    <w:rsid w:val="40479E1C"/>
    <w:rsid w:val="404C0DD0"/>
    <w:rsid w:val="404C5D1D"/>
    <w:rsid w:val="405F6DC7"/>
    <w:rsid w:val="40662A56"/>
    <w:rsid w:val="4066A7D3"/>
    <w:rsid w:val="406AFB3E"/>
    <w:rsid w:val="406BA540"/>
    <w:rsid w:val="406E6663"/>
    <w:rsid w:val="4070F1F5"/>
    <w:rsid w:val="4072D6A2"/>
    <w:rsid w:val="407B0D1D"/>
    <w:rsid w:val="407D0D44"/>
    <w:rsid w:val="40800BA1"/>
    <w:rsid w:val="40810A7E"/>
    <w:rsid w:val="4083AADB"/>
    <w:rsid w:val="4086676D"/>
    <w:rsid w:val="40885817"/>
    <w:rsid w:val="4099BF40"/>
    <w:rsid w:val="40A37758"/>
    <w:rsid w:val="40A3D98F"/>
    <w:rsid w:val="40A71B6E"/>
    <w:rsid w:val="40AAFA46"/>
    <w:rsid w:val="40AE462E"/>
    <w:rsid w:val="40BD84A3"/>
    <w:rsid w:val="40C43AD4"/>
    <w:rsid w:val="40C449FA"/>
    <w:rsid w:val="40C8F275"/>
    <w:rsid w:val="40CA9D22"/>
    <w:rsid w:val="40E66034"/>
    <w:rsid w:val="40EA0B75"/>
    <w:rsid w:val="40EAC326"/>
    <w:rsid w:val="40ED0BA8"/>
    <w:rsid w:val="40EE5AA1"/>
    <w:rsid w:val="41032829"/>
    <w:rsid w:val="41052195"/>
    <w:rsid w:val="4106C41F"/>
    <w:rsid w:val="410F0EE2"/>
    <w:rsid w:val="411FB82F"/>
    <w:rsid w:val="41206AD4"/>
    <w:rsid w:val="4120BA2A"/>
    <w:rsid w:val="4124CB89"/>
    <w:rsid w:val="4126288E"/>
    <w:rsid w:val="4126C6BB"/>
    <w:rsid w:val="412A708F"/>
    <w:rsid w:val="413CF9AE"/>
    <w:rsid w:val="413FF057"/>
    <w:rsid w:val="4143218E"/>
    <w:rsid w:val="41457C32"/>
    <w:rsid w:val="4149A89A"/>
    <w:rsid w:val="4155D02F"/>
    <w:rsid w:val="4159A214"/>
    <w:rsid w:val="415A3EFD"/>
    <w:rsid w:val="415C3E44"/>
    <w:rsid w:val="415F2979"/>
    <w:rsid w:val="41612171"/>
    <w:rsid w:val="416143FE"/>
    <w:rsid w:val="41667460"/>
    <w:rsid w:val="4168EE3E"/>
    <w:rsid w:val="416B9B8D"/>
    <w:rsid w:val="416BABC1"/>
    <w:rsid w:val="416E66EF"/>
    <w:rsid w:val="41840C4C"/>
    <w:rsid w:val="41842F3B"/>
    <w:rsid w:val="4184B1BF"/>
    <w:rsid w:val="418D84B1"/>
    <w:rsid w:val="4192C40A"/>
    <w:rsid w:val="419BA991"/>
    <w:rsid w:val="419D8126"/>
    <w:rsid w:val="41AA46E1"/>
    <w:rsid w:val="41AF664D"/>
    <w:rsid w:val="41B3455D"/>
    <w:rsid w:val="41BA756D"/>
    <w:rsid w:val="41BFDCEB"/>
    <w:rsid w:val="41C4F548"/>
    <w:rsid w:val="41C61DCD"/>
    <w:rsid w:val="41C7F8E2"/>
    <w:rsid w:val="41CB3527"/>
    <w:rsid w:val="41CCD807"/>
    <w:rsid w:val="41CE2FC8"/>
    <w:rsid w:val="41D1F3A1"/>
    <w:rsid w:val="41D2CDA0"/>
    <w:rsid w:val="41D7E7F7"/>
    <w:rsid w:val="41DAEFB2"/>
    <w:rsid w:val="41E2074B"/>
    <w:rsid w:val="41E85503"/>
    <w:rsid w:val="41EC9E1E"/>
    <w:rsid w:val="41ED09B4"/>
    <w:rsid w:val="41F5189E"/>
    <w:rsid w:val="41FE3EBA"/>
    <w:rsid w:val="42023D6D"/>
    <w:rsid w:val="4202FE19"/>
    <w:rsid w:val="4206965C"/>
    <w:rsid w:val="42122794"/>
    <w:rsid w:val="4224F591"/>
    <w:rsid w:val="42259D64"/>
    <w:rsid w:val="422A44CF"/>
    <w:rsid w:val="4230D0D5"/>
    <w:rsid w:val="423590E2"/>
    <w:rsid w:val="42374017"/>
    <w:rsid w:val="423AB6C4"/>
    <w:rsid w:val="42415CC5"/>
    <w:rsid w:val="42437115"/>
    <w:rsid w:val="4249F4FA"/>
    <w:rsid w:val="4249FCFA"/>
    <w:rsid w:val="424E741E"/>
    <w:rsid w:val="42500F5E"/>
    <w:rsid w:val="42561ABE"/>
    <w:rsid w:val="42565277"/>
    <w:rsid w:val="425B5939"/>
    <w:rsid w:val="42665345"/>
    <w:rsid w:val="4269F547"/>
    <w:rsid w:val="426DC139"/>
    <w:rsid w:val="426E565C"/>
    <w:rsid w:val="427198F7"/>
    <w:rsid w:val="42720B48"/>
    <w:rsid w:val="4272E62B"/>
    <w:rsid w:val="4273AAB4"/>
    <w:rsid w:val="4277065D"/>
    <w:rsid w:val="42772251"/>
    <w:rsid w:val="427A9DC2"/>
    <w:rsid w:val="42800AF4"/>
    <w:rsid w:val="4281C01C"/>
    <w:rsid w:val="428431B8"/>
    <w:rsid w:val="4288C728"/>
    <w:rsid w:val="428BB9E6"/>
    <w:rsid w:val="428F67A8"/>
    <w:rsid w:val="429684FB"/>
    <w:rsid w:val="42996937"/>
    <w:rsid w:val="429CA742"/>
    <w:rsid w:val="42A9C8AA"/>
    <w:rsid w:val="42AAC988"/>
    <w:rsid w:val="42AC38E4"/>
    <w:rsid w:val="42B30999"/>
    <w:rsid w:val="42BC5D07"/>
    <w:rsid w:val="42BCA232"/>
    <w:rsid w:val="42C1866E"/>
    <w:rsid w:val="42C831E5"/>
    <w:rsid w:val="42CC63D7"/>
    <w:rsid w:val="42CFC694"/>
    <w:rsid w:val="42D37576"/>
    <w:rsid w:val="42D52DE7"/>
    <w:rsid w:val="42DD18CF"/>
    <w:rsid w:val="42DF1B8F"/>
    <w:rsid w:val="42E5C916"/>
    <w:rsid w:val="42E8AE86"/>
    <w:rsid w:val="42F00B25"/>
    <w:rsid w:val="42F8FDCF"/>
    <w:rsid w:val="42FC5FB3"/>
    <w:rsid w:val="42FCBDA2"/>
    <w:rsid w:val="4301406B"/>
    <w:rsid w:val="4303A3A9"/>
    <w:rsid w:val="4303AD2D"/>
    <w:rsid w:val="4305EEAA"/>
    <w:rsid w:val="43095FC5"/>
    <w:rsid w:val="4319FDC9"/>
    <w:rsid w:val="431A1C87"/>
    <w:rsid w:val="431C28FE"/>
    <w:rsid w:val="43234915"/>
    <w:rsid w:val="432AA28A"/>
    <w:rsid w:val="432C1CAD"/>
    <w:rsid w:val="433116D6"/>
    <w:rsid w:val="4334B89C"/>
    <w:rsid w:val="4337C111"/>
    <w:rsid w:val="433AFB5D"/>
    <w:rsid w:val="433FE818"/>
    <w:rsid w:val="4344B7B7"/>
    <w:rsid w:val="4344DE09"/>
    <w:rsid w:val="43453F78"/>
    <w:rsid w:val="43548EEE"/>
    <w:rsid w:val="43556962"/>
    <w:rsid w:val="435CDB2A"/>
    <w:rsid w:val="4361D728"/>
    <w:rsid w:val="4363686E"/>
    <w:rsid w:val="4367F6C8"/>
    <w:rsid w:val="4378C5ED"/>
    <w:rsid w:val="437C5532"/>
    <w:rsid w:val="43875ED3"/>
    <w:rsid w:val="438CF8E7"/>
    <w:rsid w:val="4390DDE3"/>
    <w:rsid w:val="43924CFE"/>
    <w:rsid w:val="4396A8E0"/>
    <w:rsid w:val="4398D1B7"/>
    <w:rsid w:val="4399F67A"/>
    <w:rsid w:val="43A15970"/>
    <w:rsid w:val="43A1DE26"/>
    <w:rsid w:val="43A86F8C"/>
    <w:rsid w:val="43AC1B9F"/>
    <w:rsid w:val="43AFEFAE"/>
    <w:rsid w:val="43B8659E"/>
    <w:rsid w:val="43BF1999"/>
    <w:rsid w:val="43BF7667"/>
    <w:rsid w:val="43CBDB27"/>
    <w:rsid w:val="43CC36A8"/>
    <w:rsid w:val="43D40418"/>
    <w:rsid w:val="43D5B296"/>
    <w:rsid w:val="43D7494B"/>
    <w:rsid w:val="43DBFA7F"/>
    <w:rsid w:val="43DF65E5"/>
    <w:rsid w:val="43E6EBD4"/>
    <w:rsid w:val="43E891A2"/>
    <w:rsid w:val="43F415B1"/>
    <w:rsid w:val="43FA88BE"/>
    <w:rsid w:val="43FABDBB"/>
    <w:rsid w:val="440308EB"/>
    <w:rsid w:val="44033188"/>
    <w:rsid w:val="4409AD31"/>
    <w:rsid w:val="440A7002"/>
    <w:rsid w:val="440B94B8"/>
    <w:rsid w:val="440D384D"/>
    <w:rsid w:val="441154A7"/>
    <w:rsid w:val="441335BC"/>
    <w:rsid w:val="44177D54"/>
    <w:rsid w:val="442236E0"/>
    <w:rsid w:val="4422CA81"/>
    <w:rsid w:val="442CC889"/>
    <w:rsid w:val="442EDDF1"/>
    <w:rsid w:val="442FFB6A"/>
    <w:rsid w:val="44320D5E"/>
    <w:rsid w:val="44343F41"/>
    <w:rsid w:val="44344466"/>
    <w:rsid w:val="4438BB03"/>
    <w:rsid w:val="443C76C8"/>
    <w:rsid w:val="4445E2D9"/>
    <w:rsid w:val="444BB0B0"/>
    <w:rsid w:val="445139B8"/>
    <w:rsid w:val="44535A59"/>
    <w:rsid w:val="4463543E"/>
    <w:rsid w:val="446A2ED6"/>
    <w:rsid w:val="446B97B2"/>
    <w:rsid w:val="446BF817"/>
    <w:rsid w:val="446D0470"/>
    <w:rsid w:val="446E1595"/>
    <w:rsid w:val="447018BC"/>
    <w:rsid w:val="4472719E"/>
    <w:rsid w:val="4485E7BC"/>
    <w:rsid w:val="44895F9F"/>
    <w:rsid w:val="448EF30F"/>
    <w:rsid w:val="4499AF55"/>
    <w:rsid w:val="449A24FD"/>
    <w:rsid w:val="449D9F2F"/>
    <w:rsid w:val="449E90C1"/>
    <w:rsid w:val="449FE5C8"/>
    <w:rsid w:val="44A10A2D"/>
    <w:rsid w:val="44A1F91B"/>
    <w:rsid w:val="44A237EA"/>
    <w:rsid w:val="44AC94E8"/>
    <w:rsid w:val="44AF4811"/>
    <w:rsid w:val="44B0F4A7"/>
    <w:rsid w:val="44B231DC"/>
    <w:rsid w:val="44B5B40B"/>
    <w:rsid w:val="44BD6C11"/>
    <w:rsid w:val="44C0F567"/>
    <w:rsid w:val="44C3E41B"/>
    <w:rsid w:val="44C4BE76"/>
    <w:rsid w:val="44C5D2C6"/>
    <w:rsid w:val="44D6FA11"/>
    <w:rsid w:val="44D7E6DA"/>
    <w:rsid w:val="44DA12C6"/>
    <w:rsid w:val="44DB132B"/>
    <w:rsid w:val="44DC4F62"/>
    <w:rsid w:val="44EA93F2"/>
    <w:rsid w:val="44EF0905"/>
    <w:rsid w:val="44FA4E9E"/>
    <w:rsid w:val="44FD30DF"/>
    <w:rsid w:val="44FF3852"/>
    <w:rsid w:val="44FF6EEE"/>
    <w:rsid w:val="450815DA"/>
    <w:rsid w:val="45090CC1"/>
    <w:rsid w:val="450BC57D"/>
    <w:rsid w:val="450E7A42"/>
    <w:rsid w:val="4523BDDD"/>
    <w:rsid w:val="4526B162"/>
    <w:rsid w:val="45278051"/>
    <w:rsid w:val="45309CBC"/>
    <w:rsid w:val="453B509E"/>
    <w:rsid w:val="453CAEDA"/>
    <w:rsid w:val="453F4083"/>
    <w:rsid w:val="4543FC58"/>
    <w:rsid w:val="4558A8D1"/>
    <w:rsid w:val="4558B7DC"/>
    <w:rsid w:val="455F311E"/>
    <w:rsid w:val="455F38C2"/>
    <w:rsid w:val="4565085B"/>
    <w:rsid w:val="457166B3"/>
    <w:rsid w:val="45726D0C"/>
    <w:rsid w:val="4578063A"/>
    <w:rsid w:val="4578C0F0"/>
    <w:rsid w:val="4578FB67"/>
    <w:rsid w:val="457DEC94"/>
    <w:rsid w:val="4597D753"/>
    <w:rsid w:val="4597DCBD"/>
    <w:rsid w:val="4599B09C"/>
    <w:rsid w:val="459B867C"/>
    <w:rsid w:val="459EF330"/>
    <w:rsid w:val="45A5A518"/>
    <w:rsid w:val="45A716F9"/>
    <w:rsid w:val="45AF01CB"/>
    <w:rsid w:val="45B10CB5"/>
    <w:rsid w:val="45B141C2"/>
    <w:rsid w:val="45B14C0B"/>
    <w:rsid w:val="45B46611"/>
    <w:rsid w:val="45B8D6DE"/>
    <w:rsid w:val="45BDD289"/>
    <w:rsid w:val="45C2D87D"/>
    <w:rsid w:val="45C3ACB7"/>
    <w:rsid w:val="45C60060"/>
    <w:rsid w:val="45CDE5F5"/>
    <w:rsid w:val="45D75B15"/>
    <w:rsid w:val="45DE63C0"/>
    <w:rsid w:val="45E23646"/>
    <w:rsid w:val="45E31209"/>
    <w:rsid w:val="45E34441"/>
    <w:rsid w:val="45E566E8"/>
    <w:rsid w:val="45E6EE88"/>
    <w:rsid w:val="45EC6AAC"/>
    <w:rsid w:val="45EC82A1"/>
    <w:rsid w:val="45EE7E42"/>
    <w:rsid w:val="45F536D7"/>
    <w:rsid w:val="45F6527A"/>
    <w:rsid w:val="4607D5B6"/>
    <w:rsid w:val="460CE06B"/>
    <w:rsid w:val="46141042"/>
    <w:rsid w:val="46172CB7"/>
    <w:rsid w:val="4624641E"/>
    <w:rsid w:val="462650A9"/>
    <w:rsid w:val="462F44B6"/>
    <w:rsid w:val="4633EB7F"/>
    <w:rsid w:val="46348313"/>
    <w:rsid w:val="46361E28"/>
    <w:rsid w:val="4639C3BF"/>
    <w:rsid w:val="4641E0FF"/>
    <w:rsid w:val="46497DD6"/>
    <w:rsid w:val="46567188"/>
    <w:rsid w:val="465F5ECC"/>
    <w:rsid w:val="46651722"/>
    <w:rsid w:val="46683AE2"/>
    <w:rsid w:val="466A7110"/>
    <w:rsid w:val="466BF44C"/>
    <w:rsid w:val="466D25F5"/>
    <w:rsid w:val="466EF46E"/>
    <w:rsid w:val="466F904D"/>
    <w:rsid w:val="46704620"/>
    <w:rsid w:val="467326F2"/>
    <w:rsid w:val="467F6468"/>
    <w:rsid w:val="468661AD"/>
    <w:rsid w:val="4687F983"/>
    <w:rsid w:val="468A77D3"/>
    <w:rsid w:val="468C481D"/>
    <w:rsid w:val="4695368D"/>
    <w:rsid w:val="46953C1E"/>
    <w:rsid w:val="4699C8C9"/>
    <w:rsid w:val="469B502A"/>
    <w:rsid w:val="469BC324"/>
    <w:rsid w:val="469E6640"/>
    <w:rsid w:val="469F36D4"/>
    <w:rsid w:val="46A2E0A6"/>
    <w:rsid w:val="46A991AF"/>
    <w:rsid w:val="46ACAD32"/>
    <w:rsid w:val="46C1C9CF"/>
    <w:rsid w:val="46C25C47"/>
    <w:rsid w:val="46D01A3C"/>
    <w:rsid w:val="46D1CABB"/>
    <w:rsid w:val="46D38AB8"/>
    <w:rsid w:val="46DFBEDE"/>
    <w:rsid w:val="46E1FD25"/>
    <w:rsid w:val="46F11CC6"/>
    <w:rsid w:val="46F5BF40"/>
    <w:rsid w:val="46F63B87"/>
    <w:rsid w:val="47031B7D"/>
    <w:rsid w:val="4714EB0A"/>
    <w:rsid w:val="471B4182"/>
    <w:rsid w:val="471CFF8A"/>
    <w:rsid w:val="4729BDF9"/>
    <w:rsid w:val="472A4F65"/>
    <w:rsid w:val="472CE7A9"/>
    <w:rsid w:val="472ED467"/>
    <w:rsid w:val="47326837"/>
    <w:rsid w:val="473510EB"/>
    <w:rsid w:val="47355022"/>
    <w:rsid w:val="4738F254"/>
    <w:rsid w:val="473D9139"/>
    <w:rsid w:val="473EC764"/>
    <w:rsid w:val="47402A37"/>
    <w:rsid w:val="4744BDBF"/>
    <w:rsid w:val="474520DE"/>
    <w:rsid w:val="4749E678"/>
    <w:rsid w:val="474E8B3B"/>
    <w:rsid w:val="475006EA"/>
    <w:rsid w:val="475519F4"/>
    <w:rsid w:val="47560E21"/>
    <w:rsid w:val="475A64E7"/>
    <w:rsid w:val="475AC98C"/>
    <w:rsid w:val="47621B78"/>
    <w:rsid w:val="47641A91"/>
    <w:rsid w:val="47681102"/>
    <w:rsid w:val="476D5A1F"/>
    <w:rsid w:val="47792F42"/>
    <w:rsid w:val="477B23A9"/>
    <w:rsid w:val="477C4ECE"/>
    <w:rsid w:val="477E9253"/>
    <w:rsid w:val="477EA188"/>
    <w:rsid w:val="47818AE0"/>
    <w:rsid w:val="4784271E"/>
    <w:rsid w:val="47858925"/>
    <w:rsid w:val="478BA66A"/>
    <w:rsid w:val="478C90C1"/>
    <w:rsid w:val="478C9284"/>
    <w:rsid w:val="479E2055"/>
    <w:rsid w:val="47A377A9"/>
    <w:rsid w:val="47ABD72A"/>
    <w:rsid w:val="47AC87A7"/>
    <w:rsid w:val="47ADAE74"/>
    <w:rsid w:val="47AFA957"/>
    <w:rsid w:val="47B93AD4"/>
    <w:rsid w:val="47BB8AAE"/>
    <w:rsid w:val="47BED72E"/>
    <w:rsid w:val="47CC0FC7"/>
    <w:rsid w:val="47CDFE8A"/>
    <w:rsid w:val="47D6E0BC"/>
    <w:rsid w:val="47DC5BA5"/>
    <w:rsid w:val="47DFEAEC"/>
    <w:rsid w:val="47E7AC03"/>
    <w:rsid w:val="47E89923"/>
    <w:rsid w:val="47E979A9"/>
    <w:rsid w:val="47FAA29F"/>
    <w:rsid w:val="480E09B3"/>
    <w:rsid w:val="48102B32"/>
    <w:rsid w:val="48133CE7"/>
    <w:rsid w:val="4816E50D"/>
    <w:rsid w:val="48178763"/>
    <w:rsid w:val="4817D4F6"/>
    <w:rsid w:val="48194C69"/>
    <w:rsid w:val="481FA1E2"/>
    <w:rsid w:val="4822D6BE"/>
    <w:rsid w:val="483477A4"/>
    <w:rsid w:val="483B8B01"/>
    <w:rsid w:val="483D27D5"/>
    <w:rsid w:val="4849D8DB"/>
    <w:rsid w:val="484BAE96"/>
    <w:rsid w:val="4856A6C4"/>
    <w:rsid w:val="4861D5FB"/>
    <w:rsid w:val="4862923D"/>
    <w:rsid w:val="48652A86"/>
    <w:rsid w:val="4865D19C"/>
    <w:rsid w:val="486BC1B6"/>
    <w:rsid w:val="486F1290"/>
    <w:rsid w:val="486F3457"/>
    <w:rsid w:val="487040C1"/>
    <w:rsid w:val="48753488"/>
    <w:rsid w:val="487C249D"/>
    <w:rsid w:val="4887458F"/>
    <w:rsid w:val="48877680"/>
    <w:rsid w:val="488A3051"/>
    <w:rsid w:val="488ACA3C"/>
    <w:rsid w:val="48952E50"/>
    <w:rsid w:val="4895E498"/>
    <w:rsid w:val="48992621"/>
    <w:rsid w:val="48A5AB46"/>
    <w:rsid w:val="48A5C6AB"/>
    <w:rsid w:val="48A6FA35"/>
    <w:rsid w:val="48A7746D"/>
    <w:rsid w:val="48B08FE2"/>
    <w:rsid w:val="48BCEC89"/>
    <w:rsid w:val="48BF4933"/>
    <w:rsid w:val="48C0593D"/>
    <w:rsid w:val="48C363D5"/>
    <w:rsid w:val="48D6C9AF"/>
    <w:rsid w:val="48D79508"/>
    <w:rsid w:val="48DBEA25"/>
    <w:rsid w:val="48DD09AB"/>
    <w:rsid w:val="48DF6AD2"/>
    <w:rsid w:val="48DFBEF7"/>
    <w:rsid w:val="48E564CF"/>
    <w:rsid w:val="48E9CDD5"/>
    <w:rsid w:val="48EFE62F"/>
    <w:rsid w:val="48F197F9"/>
    <w:rsid w:val="48F4B5B4"/>
    <w:rsid w:val="48F8A9CB"/>
    <w:rsid w:val="4901BE5F"/>
    <w:rsid w:val="490E8B66"/>
    <w:rsid w:val="49179568"/>
    <w:rsid w:val="491EDF1A"/>
    <w:rsid w:val="4924AFCF"/>
    <w:rsid w:val="492525A1"/>
    <w:rsid w:val="492D4841"/>
    <w:rsid w:val="493123BA"/>
    <w:rsid w:val="493498ED"/>
    <w:rsid w:val="4939C1AE"/>
    <w:rsid w:val="493CE87A"/>
    <w:rsid w:val="494108E5"/>
    <w:rsid w:val="494BDC89"/>
    <w:rsid w:val="49512C08"/>
    <w:rsid w:val="4952E1F2"/>
    <w:rsid w:val="4956740C"/>
    <w:rsid w:val="49569086"/>
    <w:rsid w:val="4957F2B3"/>
    <w:rsid w:val="495A01E1"/>
    <w:rsid w:val="495F593B"/>
    <w:rsid w:val="49665515"/>
    <w:rsid w:val="497197D8"/>
    <w:rsid w:val="497D4FC5"/>
    <w:rsid w:val="49891C90"/>
    <w:rsid w:val="49893A8C"/>
    <w:rsid w:val="4989E0E7"/>
    <w:rsid w:val="498FC263"/>
    <w:rsid w:val="4994AF12"/>
    <w:rsid w:val="499B7F95"/>
    <w:rsid w:val="499D87F2"/>
    <w:rsid w:val="499F27FF"/>
    <w:rsid w:val="49AE08CB"/>
    <w:rsid w:val="49AF7990"/>
    <w:rsid w:val="49B5C935"/>
    <w:rsid w:val="49BD0F45"/>
    <w:rsid w:val="49BDAB66"/>
    <w:rsid w:val="49C91B3D"/>
    <w:rsid w:val="49CE885F"/>
    <w:rsid w:val="49CECB81"/>
    <w:rsid w:val="49D4F4FD"/>
    <w:rsid w:val="49D8E4C1"/>
    <w:rsid w:val="49DED509"/>
    <w:rsid w:val="49E50A8D"/>
    <w:rsid w:val="49FFA3E2"/>
    <w:rsid w:val="4A06CB52"/>
    <w:rsid w:val="4A0D4F84"/>
    <w:rsid w:val="4A0E161F"/>
    <w:rsid w:val="4A0E3027"/>
    <w:rsid w:val="4A0E77DE"/>
    <w:rsid w:val="4A134E96"/>
    <w:rsid w:val="4A18C42F"/>
    <w:rsid w:val="4A2048DB"/>
    <w:rsid w:val="4A224198"/>
    <w:rsid w:val="4A228047"/>
    <w:rsid w:val="4A22ED07"/>
    <w:rsid w:val="4A31B339"/>
    <w:rsid w:val="4A36FEC3"/>
    <w:rsid w:val="4A37FCC6"/>
    <w:rsid w:val="4A3D1551"/>
    <w:rsid w:val="4A3F6399"/>
    <w:rsid w:val="4A4163E9"/>
    <w:rsid w:val="4A4296C0"/>
    <w:rsid w:val="4A47A9C8"/>
    <w:rsid w:val="4A4840CC"/>
    <w:rsid w:val="4A4D0E2E"/>
    <w:rsid w:val="4A58EB69"/>
    <w:rsid w:val="4A5CCB3E"/>
    <w:rsid w:val="4A5F2746"/>
    <w:rsid w:val="4A5F7AA6"/>
    <w:rsid w:val="4A65DCDF"/>
    <w:rsid w:val="4A77ECF1"/>
    <w:rsid w:val="4A7BFF7A"/>
    <w:rsid w:val="4A7FD32A"/>
    <w:rsid w:val="4A8C0A02"/>
    <w:rsid w:val="4A8C3EC8"/>
    <w:rsid w:val="4A8D3B82"/>
    <w:rsid w:val="4A8F0A11"/>
    <w:rsid w:val="4A96B0AD"/>
    <w:rsid w:val="4A9E3D8C"/>
    <w:rsid w:val="4AA2F06D"/>
    <w:rsid w:val="4AA4472B"/>
    <w:rsid w:val="4AA7CBB8"/>
    <w:rsid w:val="4AAA2203"/>
    <w:rsid w:val="4AAABCE9"/>
    <w:rsid w:val="4AC861C7"/>
    <w:rsid w:val="4ACBDE6D"/>
    <w:rsid w:val="4AD3E75F"/>
    <w:rsid w:val="4ADE0868"/>
    <w:rsid w:val="4ADFBF11"/>
    <w:rsid w:val="4AE5618B"/>
    <w:rsid w:val="4AEC5402"/>
    <w:rsid w:val="4AF6C717"/>
    <w:rsid w:val="4AF8B66F"/>
    <w:rsid w:val="4AFA2085"/>
    <w:rsid w:val="4AFA4303"/>
    <w:rsid w:val="4AFD491D"/>
    <w:rsid w:val="4B07D050"/>
    <w:rsid w:val="4B126F19"/>
    <w:rsid w:val="4B13F4A7"/>
    <w:rsid w:val="4B175EE0"/>
    <w:rsid w:val="4B1ED99F"/>
    <w:rsid w:val="4B292702"/>
    <w:rsid w:val="4B33FCC5"/>
    <w:rsid w:val="4B356C45"/>
    <w:rsid w:val="4B404662"/>
    <w:rsid w:val="4B43E1A7"/>
    <w:rsid w:val="4B484A53"/>
    <w:rsid w:val="4B4934E9"/>
    <w:rsid w:val="4B49DDEB"/>
    <w:rsid w:val="4B4E3AA5"/>
    <w:rsid w:val="4B53F6D0"/>
    <w:rsid w:val="4B55E164"/>
    <w:rsid w:val="4B56A736"/>
    <w:rsid w:val="4B575C7E"/>
    <w:rsid w:val="4B5B846A"/>
    <w:rsid w:val="4B5FB355"/>
    <w:rsid w:val="4B689008"/>
    <w:rsid w:val="4B6A59F7"/>
    <w:rsid w:val="4B6DD7C6"/>
    <w:rsid w:val="4B6F820E"/>
    <w:rsid w:val="4B75D127"/>
    <w:rsid w:val="4B7840D1"/>
    <w:rsid w:val="4B78CDA7"/>
    <w:rsid w:val="4B80590A"/>
    <w:rsid w:val="4B841638"/>
    <w:rsid w:val="4B871405"/>
    <w:rsid w:val="4B87706B"/>
    <w:rsid w:val="4B8CBCC7"/>
    <w:rsid w:val="4B8E6E5F"/>
    <w:rsid w:val="4B91C44E"/>
    <w:rsid w:val="4B957E51"/>
    <w:rsid w:val="4B997D2F"/>
    <w:rsid w:val="4BA44DB6"/>
    <w:rsid w:val="4BA59F4C"/>
    <w:rsid w:val="4BA75471"/>
    <w:rsid w:val="4BA8D231"/>
    <w:rsid w:val="4BAD9F9D"/>
    <w:rsid w:val="4BB23865"/>
    <w:rsid w:val="4BB45B18"/>
    <w:rsid w:val="4BBF7511"/>
    <w:rsid w:val="4BC42C30"/>
    <w:rsid w:val="4BC5912D"/>
    <w:rsid w:val="4BC82FFA"/>
    <w:rsid w:val="4BD1E165"/>
    <w:rsid w:val="4BD4B723"/>
    <w:rsid w:val="4BDAD7E2"/>
    <w:rsid w:val="4BEA12D9"/>
    <w:rsid w:val="4BF25417"/>
    <w:rsid w:val="4BF2D2D9"/>
    <w:rsid w:val="4BFA3AC4"/>
    <w:rsid w:val="4BFB830C"/>
    <w:rsid w:val="4C104173"/>
    <w:rsid w:val="4C147630"/>
    <w:rsid w:val="4C171DD3"/>
    <w:rsid w:val="4C190CA8"/>
    <w:rsid w:val="4C1A7371"/>
    <w:rsid w:val="4C2702C4"/>
    <w:rsid w:val="4C2AFA3C"/>
    <w:rsid w:val="4C2C5CD5"/>
    <w:rsid w:val="4C327579"/>
    <w:rsid w:val="4C33743F"/>
    <w:rsid w:val="4C347024"/>
    <w:rsid w:val="4C3B0659"/>
    <w:rsid w:val="4C3D9ADE"/>
    <w:rsid w:val="4C3E6995"/>
    <w:rsid w:val="4C3FDEE0"/>
    <w:rsid w:val="4C477723"/>
    <w:rsid w:val="4C486383"/>
    <w:rsid w:val="4C4878FC"/>
    <w:rsid w:val="4C4BDE5A"/>
    <w:rsid w:val="4C4E82FD"/>
    <w:rsid w:val="4C560BF7"/>
    <w:rsid w:val="4C5B98ED"/>
    <w:rsid w:val="4C5EEADA"/>
    <w:rsid w:val="4C62007E"/>
    <w:rsid w:val="4C6AA8AB"/>
    <w:rsid w:val="4C6CDD41"/>
    <w:rsid w:val="4C6FD3DB"/>
    <w:rsid w:val="4C7084AC"/>
    <w:rsid w:val="4C70D4AB"/>
    <w:rsid w:val="4C712BA4"/>
    <w:rsid w:val="4C7490FC"/>
    <w:rsid w:val="4C7694B7"/>
    <w:rsid w:val="4C7C9D97"/>
    <w:rsid w:val="4C7D4388"/>
    <w:rsid w:val="4C88B89B"/>
    <w:rsid w:val="4C8BABAB"/>
    <w:rsid w:val="4C8C2C81"/>
    <w:rsid w:val="4C8D2A12"/>
    <w:rsid w:val="4C8DB23C"/>
    <w:rsid w:val="4C91BC27"/>
    <w:rsid w:val="4C939D00"/>
    <w:rsid w:val="4C9FF79D"/>
    <w:rsid w:val="4CAF7C2D"/>
    <w:rsid w:val="4CB94DC5"/>
    <w:rsid w:val="4CCA18FD"/>
    <w:rsid w:val="4CD2E66F"/>
    <w:rsid w:val="4CD64865"/>
    <w:rsid w:val="4CD72A24"/>
    <w:rsid w:val="4CD75674"/>
    <w:rsid w:val="4CDBEE54"/>
    <w:rsid w:val="4CDD8EC6"/>
    <w:rsid w:val="4CDF9AE8"/>
    <w:rsid w:val="4CE11B9F"/>
    <w:rsid w:val="4CE3062F"/>
    <w:rsid w:val="4CE3B0F8"/>
    <w:rsid w:val="4CF1DF86"/>
    <w:rsid w:val="4CF79F6A"/>
    <w:rsid w:val="4CFF26E1"/>
    <w:rsid w:val="4D076FF7"/>
    <w:rsid w:val="4D088889"/>
    <w:rsid w:val="4D0B52CA"/>
    <w:rsid w:val="4D165789"/>
    <w:rsid w:val="4D17850E"/>
    <w:rsid w:val="4D2249DE"/>
    <w:rsid w:val="4D22C58C"/>
    <w:rsid w:val="4D2492BF"/>
    <w:rsid w:val="4D284CF9"/>
    <w:rsid w:val="4D307012"/>
    <w:rsid w:val="4D3510FA"/>
    <w:rsid w:val="4D39D036"/>
    <w:rsid w:val="4D3F4077"/>
    <w:rsid w:val="4D4459ED"/>
    <w:rsid w:val="4D4EB8E1"/>
    <w:rsid w:val="4D503B15"/>
    <w:rsid w:val="4D55B488"/>
    <w:rsid w:val="4D583DFA"/>
    <w:rsid w:val="4D58C052"/>
    <w:rsid w:val="4D5CC0CD"/>
    <w:rsid w:val="4D5CC4DC"/>
    <w:rsid w:val="4D660F9C"/>
    <w:rsid w:val="4D67A487"/>
    <w:rsid w:val="4D6C3F5B"/>
    <w:rsid w:val="4D74D87B"/>
    <w:rsid w:val="4D750E69"/>
    <w:rsid w:val="4D78B283"/>
    <w:rsid w:val="4D7ADFF8"/>
    <w:rsid w:val="4D7C0D78"/>
    <w:rsid w:val="4D80FCAD"/>
    <w:rsid w:val="4D833DDA"/>
    <w:rsid w:val="4D863588"/>
    <w:rsid w:val="4D8CF64A"/>
    <w:rsid w:val="4D8D8D44"/>
    <w:rsid w:val="4D8FF0A1"/>
    <w:rsid w:val="4D90098F"/>
    <w:rsid w:val="4D9C002C"/>
    <w:rsid w:val="4DA18F40"/>
    <w:rsid w:val="4DAD4524"/>
    <w:rsid w:val="4DB025B7"/>
    <w:rsid w:val="4DB170E3"/>
    <w:rsid w:val="4DC262E2"/>
    <w:rsid w:val="4DCB185B"/>
    <w:rsid w:val="4DCBD265"/>
    <w:rsid w:val="4DD4A3BE"/>
    <w:rsid w:val="4DD67079"/>
    <w:rsid w:val="4DD88ADC"/>
    <w:rsid w:val="4DD97EF2"/>
    <w:rsid w:val="4DDA4603"/>
    <w:rsid w:val="4DDB3D69"/>
    <w:rsid w:val="4DE64F6D"/>
    <w:rsid w:val="4DE6ECB2"/>
    <w:rsid w:val="4DE8CD30"/>
    <w:rsid w:val="4DEE9CCC"/>
    <w:rsid w:val="4DF25469"/>
    <w:rsid w:val="4DF4E645"/>
    <w:rsid w:val="4DF64386"/>
    <w:rsid w:val="4DF76F06"/>
    <w:rsid w:val="4DF7E052"/>
    <w:rsid w:val="4DFA2474"/>
    <w:rsid w:val="4E054420"/>
    <w:rsid w:val="4E05B481"/>
    <w:rsid w:val="4E0A65B4"/>
    <w:rsid w:val="4E0C7277"/>
    <w:rsid w:val="4E11AB2E"/>
    <w:rsid w:val="4E1A1AE5"/>
    <w:rsid w:val="4E1E6E78"/>
    <w:rsid w:val="4E26B468"/>
    <w:rsid w:val="4E2EF8BC"/>
    <w:rsid w:val="4E399D97"/>
    <w:rsid w:val="4E40A7F9"/>
    <w:rsid w:val="4E41E6B3"/>
    <w:rsid w:val="4E456D68"/>
    <w:rsid w:val="4E48EC10"/>
    <w:rsid w:val="4E4BB4E9"/>
    <w:rsid w:val="4E590458"/>
    <w:rsid w:val="4E603D4E"/>
    <w:rsid w:val="4E62056A"/>
    <w:rsid w:val="4E6214CB"/>
    <w:rsid w:val="4E69E4D7"/>
    <w:rsid w:val="4E69F127"/>
    <w:rsid w:val="4E6FFF7A"/>
    <w:rsid w:val="4E73D04F"/>
    <w:rsid w:val="4E742E8F"/>
    <w:rsid w:val="4E775681"/>
    <w:rsid w:val="4E77BA3E"/>
    <w:rsid w:val="4E78B1B0"/>
    <w:rsid w:val="4E7938F4"/>
    <w:rsid w:val="4E7947D1"/>
    <w:rsid w:val="4E7BA27D"/>
    <w:rsid w:val="4E857C1A"/>
    <w:rsid w:val="4E89A6EC"/>
    <w:rsid w:val="4E8CE1A4"/>
    <w:rsid w:val="4E8FDAE9"/>
    <w:rsid w:val="4E951043"/>
    <w:rsid w:val="4E9587B7"/>
    <w:rsid w:val="4E9C15AB"/>
    <w:rsid w:val="4EA0040A"/>
    <w:rsid w:val="4EA055EE"/>
    <w:rsid w:val="4EAE1C0D"/>
    <w:rsid w:val="4EB25980"/>
    <w:rsid w:val="4EBF90D6"/>
    <w:rsid w:val="4EC74A7E"/>
    <w:rsid w:val="4ECB5A2B"/>
    <w:rsid w:val="4EDA79AF"/>
    <w:rsid w:val="4EDC2DAD"/>
    <w:rsid w:val="4EE262E5"/>
    <w:rsid w:val="4EECDFEB"/>
    <w:rsid w:val="4EFC1FF9"/>
    <w:rsid w:val="4EFE1DC8"/>
    <w:rsid w:val="4F057A9A"/>
    <w:rsid w:val="4F09C75A"/>
    <w:rsid w:val="4F21A890"/>
    <w:rsid w:val="4F27E660"/>
    <w:rsid w:val="4F2A1B75"/>
    <w:rsid w:val="4F2DCD38"/>
    <w:rsid w:val="4F3590A4"/>
    <w:rsid w:val="4F3D78A7"/>
    <w:rsid w:val="4F3DB290"/>
    <w:rsid w:val="4F3F773E"/>
    <w:rsid w:val="4F4112C3"/>
    <w:rsid w:val="4F41BE27"/>
    <w:rsid w:val="4F4893E6"/>
    <w:rsid w:val="4F535962"/>
    <w:rsid w:val="4F54E4BD"/>
    <w:rsid w:val="4F55D94D"/>
    <w:rsid w:val="4F5FB8DF"/>
    <w:rsid w:val="4F625224"/>
    <w:rsid w:val="4F6A6F16"/>
    <w:rsid w:val="4F6CCE29"/>
    <w:rsid w:val="4F6E1F19"/>
    <w:rsid w:val="4F6F2F7E"/>
    <w:rsid w:val="4F75195C"/>
    <w:rsid w:val="4F793433"/>
    <w:rsid w:val="4F797154"/>
    <w:rsid w:val="4F7B5574"/>
    <w:rsid w:val="4F7B6D66"/>
    <w:rsid w:val="4F7E31F4"/>
    <w:rsid w:val="4F80D13B"/>
    <w:rsid w:val="4F80D5D4"/>
    <w:rsid w:val="4F8349CA"/>
    <w:rsid w:val="4F85D18E"/>
    <w:rsid w:val="4F892F5A"/>
    <w:rsid w:val="4F8C1C90"/>
    <w:rsid w:val="4F91A34B"/>
    <w:rsid w:val="4F934E29"/>
    <w:rsid w:val="4F974081"/>
    <w:rsid w:val="4FA100E7"/>
    <w:rsid w:val="4FA2DF93"/>
    <w:rsid w:val="4FA3816E"/>
    <w:rsid w:val="4FA51ED6"/>
    <w:rsid w:val="4FA6041D"/>
    <w:rsid w:val="4FACA175"/>
    <w:rsid w:val="4FAE4749"/>
    <w:rsid w:val="4FB20C01"/>
    <w:rsid w:val="4FB55A9E"/>
    <w:rsid w:val="4FB6636D"/>
    <w:rsid w:val="4FBB11BD"/>
    <w:rsid w:val="4FC0A692"/>
    <w:rsid w:val="4FC1D2E6"/>
    <w:rsid w:val="4FC2AA56"/>
    <w:rsid w:val="4FC6C1E1"/>
    <w:rsid w:val="4FD1CB9D"/>
    <w:rsid w:val="4FD53B94"/>
    <w:rsid w:val="4FD65BBD"/>
    <w:rsid w:val="4FDAF668"/>
    <w:rsid w:val="4FEC5F14"/>
    <w:rsid w:val="4FEFE6D3"/>
    <w:rsid w:val="4FF67655"/>
    <w:rsid w:val="5013330D"/>
    <w:rsid w:val="50173665"/>
    <w:rsid w:val="5018CF62"/>
    <w:rsid w:val="501D5147"/>
    <w:rsid w:val="502280DE"/>
    <w:rsid w:val="502BC663"/>
    <w:rsid w:val="502D3D41"/>
    <w:rsid w:val="502F7CAB"/>
    <w:rsid w:val="50367A19"/>
    <w:rsid w:val="5037910B"/>
    <w:rsid w:val="5046CD52"/>
    <w:rsid w:val="5047B975"/>
    <w:rsid w:val="5057F674"/>
    <w:rsid w:val="505CE273"/>
    <w:rsid w:val="506721BF"/>
    <w:rsid w:val="506FEBB4"/>
    <w:rsid w:val="50700050"/>
    <w:rsid w:val="507174E1"/>
    <w:rsid w:val="50777DCE"/>
    <w:rsid w:val="507886A1"/>
    <w:rsid w:val="508030F8"/>
    <w:rsid w:val="50849AC3"/>
    <w:rsid w:val="508C2C7F"/>
    <w:rsid w:val="508D2BB0"/>
    <w:rsid w:val="509049A0"/>
    <w:rsid w:val="5094A615"/>
    <w:rsid w:val="50992A82"/>
    <w:rsid w:val="509C8EB2"/>
    <w:rsid w:val="50A145E4"/>
    <w:rsid w:val="50A97923"/>
    <w:rsid w:val="50ACAF93"/>
    <w:rsid w:val="50B0C56A"/>
    <w:rsid w:val="50B22311"/>
    <w:rsid w:val="50B30A50"/>
    <w:rsid w:val="50B55599"/>
    <w:rsid w:val="50B62E38"/>
    <w:rsid w:val="50B73BDC"/>
    <w:rsid w:val="50B95996"/>
    <w:rsid w:val="50BA6C41"/>
    <w:rsid w:val="50C1F31A"/>
    <w:rsid w:val="50C5AC94"/>
    <w:rsid w:val="50C62F46"/>
    <w:rsid w:val="50C884E3"/>
    <w:rsid w:val="50D4D755"/>
    <w:rsid w:val="50D71582"/>
    <w:rsid w:val="50D80F3C"/>
    <w:rsid w:val="50D94609"/>
    <w:rsid w:val="50DDF1DE"/>
    <w:rsid w:val="50DF4B6C"/>
    <w:rsid w:val="50E605C1"/>
    <w:rsid w:val="50EA2F11"/>
    <w:rsid w:val="50EA4FFD"/>
    <w:rsid w:val="50F236D1"/>
    <w:rsid w:val="510DAECC"/>
    <w:rsid w:val="5119D408"/>
    <w:rsid w:val="511A5E97"/>
    <w:rsid w:val="511F60E7"/>
    <w:rsid w:val="512108E9"/>
    <w:rsid w:val="5123AE7B"/>
    <w:rsid w:val="512F7651"/>
    <w:rsid w:val="51357D98"/>
    <w:rsid w:val="513B82E5"/>
    <w:rsid w:val="513EA0F9"/>
    <w:rsid w:val="5141B6F8"/>
    <w:rsid w:val="5148448D"/>
    <w:rsid w:val="514A0BB5"/>
    <w:rsid w:val="5159B71B"/>
    <w:rsid w:val="515A24C2"/>
    <w:rsid w:val="515C35E3"/>
    <w:rsid w:val="515E4AF2"/>
    <w:rsid w:val="516A343E"/>
    <w:rsid w:val="516BFA71"/>
    <w:rsid w:val="516E02B1"/>
    <w:rsid w:val="5179F389"/>
    <w:rsid w:val="517BE3D0"/>
    <w:rsid w:val="517DB758"/>
    <w:rsid w:val="517F8771"/>
    <w:rsid w:val="5186BE6D"/>
    <w:rsid w:val="5190016B"/>
    <w:rsid w:val="5190F84B"/>
    <w:rsid w:val="5195AB5F"/>
    <w:rsid w:val="519BE156"/>
    <w:rsid w:val="51A435F6"/>
    <w:rsid w:val="51AAAB77"/>
    <w:rsid w:val="51AFAC40"/>
    <w:rsid w:val="51B541F1"/>
    <w:rsid w:val="51B66540"/>
    <w:rsid w:val="51B6E2D7"/>
    <w:rsid w:val="51C0C151"/>
    <w:rsid w:val="51C3525B"/>
    <w:rsid w:val="51C50E0F"/>
    <w:rsid w:val="51C8AD20"/>
    <w:rsid w:val="51CDDA63"/>
    <w:rsid w:val="51E0282E"/>
    <w:rsid w:val="51EB5230"/>
    <w:rsid w:val="51F874B6"/>
    <w:rsid w:val="51FAA273"/>
    <w:rsid w:val="51FE2E4F"/>
    <w:rsid w:val="5205EFF8"/>
    <w:rsid w:val="5207A945"/>
    <w:rsid w:val="520E828A"/>
    <w:rsid w:val="5214B2EF"/>
    <w:rsid w:val="52183312"/>
    <w:rsid w:val="5228A769"/>
    <w:rsid w:val="522CCE86"/>
    <w:rsid w:val="523417D3"/>
    <w:rsid w:val="523E8529"/>
    <w:rsid w:val="524405B6"/>
    <w:rsid w:val="5246ED20"/>
    <w:rsid w:val="524BB091"/>
    <w:rsid w:val="52500BE7"/>
    <w:rsid w:val="5250AFE3"/>
    <w:rsid w:val="52564FD2"/>
    <w:rsid w:val="52568C54"/>
    <w:rsid w:val="52593920"/>
    <w:rsid w:val="525A3BA5"/>
    <w:rsid w:val="525E48A9"/>
    <w:rsid w:val="526730B6"/>
    <w:rsid w:val="526F2F12"/>
    <w:rsid w:val="52734DC7"/>
    <w:rsid w:val="5274CBC8"/>
    <w:rsid w:val="5276F03B"/>
    <w:rsid w:val="527D8FEA"/>
    <w:rsid w:val="528A389C"/>
    <w:rsid w:val="528A9F00"/>
    <w:rsid w:val="529CACAE"/>
    <w:rsid w:val="52AFAF09"/>
    <w:rsid w:val="52B68B07"/>
    <w:rsid w:val="52B6D60D"/>
    <w:rsid w:val="52CA57B9"/>
    <w:rsid w:val="52CA8157"/>
    <w:rsid w:val="52CC2003"/>
    <w:rsid w:val="52CD4C3A"/>
    <w:rsid w:val="52CF6AE4"/>
    <w:rsid w:val="52DB7D24"/>
    <w:rsid w:val="52DC403D"/>
    <w:rsid w:val="52E0270A"/>
    <w:rsid w:val="52E80943"/>
    <w:rsid w:val="52E862FF"/>
    <w:rsid w:val="52EEF8EA"/>
    <w:rsid w:val="52F973CA"/>
    <w:rsid w:val="5302FF6B"/>
    <w:rsid w:val="530706D0"/>
    <w:rsid w:val="530D1872"/>
    <w:rsid w:val="531D0A42"/>
    <w:rsid w:val="531DA1D1"/>
    <w:rsid w:val="5323C430"/>
    <w:rsid w:val="53254A54"/>
    <w:rsid w:val="532D4FF7"/>
    <w:rsid w:val="532E96C6"/>
    <w:rsid w:val="53329648"/>
    <w:rsid w:val="53388483"/>
    <w:rsid w:val="534DB6F9"/>
    <w:rsid w:val="534DC675"/>
    <w:rsid w:val="5359F313"/>
    <w:rsid w:val="535CA100"/>
    <w:rsid w:val="53605DCA"/>
    <w:rsid w:val="5364E2A0"/>
    <w:rsid w:val="5367ADDC"/>
    <w:rsid w:val="536C82B0"/>
    <w:rsid w:val="537489EE"/>
    <w:rsid w:val="537E96CC"/>
    <w:rsid w:val="5381D70F"/>
    <w:rsid w:val="53855BEC"/>
    <w:rsid w:val="538712EE"/>
    <w:rsid w:val="538E8E18"/>
    <w:rsid w:val="538FD843"/>
    <w:rsid w:val="539026DA"/>
    <w:rsid w:val="539213F7"/>
    <w:rsid w:val="53921507"/>
    <w:rsid w:val="53983607"/>
    <w:rsid w:val="53AB96B0"/>
    <w:rsid w:val="53AFEEDB"/>
    <w:rsid w:val="53BB695A"/>
    <w:rsid w:val="53BDE3AC"/>
    <w:rsid w:val="53C0B9E6"/>
    <w:rsid w:val="53CEAF96"/>
    <w:rsid w:val="53CEE31E"/>
    <w:rsid w:val="53D12BDE"/>
    <w:rsid w:val="53D7B07A"/>
    <w:rsid w:val="53D8392A"/>
    <w:rsid w:val="53E38BBB"/>
    <w:rsid w:val="53E9083F"/>
    <w:rsid w:val="53EA97D1"/>
    <w:rsid w:val="53F1363A"/>
    <w:rsid w:val="53F82931"/>
    <w:rsid w:val="53F9BA0D"/>
    <w:rsid w:val="53FB7FE6"/>
    <w:rsid w:val="5402B660"/>
    <w:rsid w:val="540CCF97"/>
    <w:rsid w:val="540FA479"/>
    <w:rsid w:val="5423E800"/>
    <w:rsid w:val="54240CC2"/>
    <w:rsid w:val="54249233"/>
    <w:rsid w:val="54320708"/>
    <w:rsid w:val="543348C6"/>
    <w:rsid w:val="5442621F"/>
    <w:rsid w:val="5442F396"/>
    <w:rsid w:val="54436D90"/>
    <w:rsid w:val="5444E259"/>
    <w:rsid w:val="54472CB2"/>
    <w:rsid w:val="54510F6D"/>
    <w:rsid w:val="545380DA"/>
    <w:rsid w:val="5454A47A"/>
    <w:rsid w:val="5454F64D"/>
    <w:rsid w:val="5456FA4A"/>
    <w:rsid w:val="545D0312"/>
    <w:rsid w:val="545D108C"/>
    <w:rsid w:val="54630A08"/>
    <w:rsid w:val="5463AA72"/>
    <w:rsid w:val="5467E067"/>
    <w:rsid w:val="546C05B0"/>
    <w:rsid w:val="547110A0"/>
    <w:rsid w:val="5476C6D8"/>
    <w:rsid w:val="548655EB"/>
    <w:rsid w:val="548967A3"/>
    <w:rsid w:val="549DA9A3"/>
    <w:rsid w:val="54AC395C"/>
    <w:rsid w:val="54B0DD34"/>
    <w:rsid w:val="54B77CEB"/>
    <w:rsid w:val="54BDB1A9"/>
    <w:rsid w:val="54D25B95"/>
    <w:rsid w:val="54D40EF7"/>
    <w:rsid w:val="54DA389D"/>
    <w:rsid w:val="54DBB642"/>
    <w:rsid w:val="54DC7F17"/>
    <w:rsid w:val="54DCDEA2"/>
    <w:rsid w:val="54E0A601"/>
    <w:rsid w:val="54E2404D"/>
    <w:rsid w:val="54E40391"/>
    <w:rsid w:val="54E868D9"/>
    <w:rsid w:val="54E9F797"/>
    <w:rsid w:val="54F3A05A"/>
    <w:rsid w:val="55042714"/>
    <w:rsid w:val="550564DC"/>
    <w:rsid w:val="5508ABBC"/>
    <w:rsid w:val="55097F7E"/>
    <w:rsid w:val="551382A5"/>
    <w:rsid w:val="5517BDFC"/>
    <w:rsid w:val="5519DA7F"/>
    <w:rsid w:val="5527DA63"/>
    <w:rsid w:val="5532C646"/>
    <w:rsid w:val="5535C208"/>
    <w:rsid w:val="553953FF"/>
    <w:rsid w:val="553C6770"/>
    <w:rsid w:val="55401D0A"/>
    <w:rsid w:val="55461C34"/>
    <w:rsid w:val="554E6F7D"/>
    <w:rsid w:val="5554F3CB"/>
    <w:rsid w:val="55563E44"/>
    <w:rsid w:val="5556AD49"/>
    <w:rsid w:val="556DE8BA"/>
    <w:rsid w:val="55700096"/>
    <w:rsid w:val="5576C17A"/>
    <w:rsid w:val="557C3442"/>
    <w:rsid w:val="557D4E34"/>
    <w:rsid w:val="557FFEBE"/>
    <w:rsid w:val="558083AE"/>
    <w:rsid w:val="55833B6D"/>
    <w:rsid w:val="5585F786"/>
    <w:rsid w:val="5592B499"/>
    <w:rsid w:val="559571E2"/>
    <w:rsid w:val="559646F0"/>
    <w:rsid w:val="5599026B"/>
    <w:rsid w:val="55A128E2"/>
    <w:rsid w:val="55A17056"/>
    <w:rsid w:val="55A4BF53"/>
    <w:rsid w:val="55A72C0D"/>
    <w:rsid w:val="55AD7502"/>
    <w:rsid w:val="55B9BFF5"/>
    <w:rsid w:val="55BCA90C"/>
    <w:rsid w:val="55C192BD"/>
    <w:rsid w:val="55C5B8BB"/>
    <w:rsid w:val="55CC5587"/>
    <w:rsid w:val="55CCBFBE"/>
    <w:rsid w:val="55D7526D"/>
    <w:rsid w:val="55D7C043"/>
    <w:rsid w:val="55DBAFF4"/>
    <w:rsid w:val="55E07D18"/>
    <w:rsid w:val="55E24F28"/>
    <w:rsid w:val="55E2E11B"/>
    <w:rsid w:val="55E3D1CF"/>
    <w:rsid w:val="55E3EB0F"/>
    <w:rsid w:val="55E5AE9F"/>
    <w:rsid w:val="55EC8D92"/>
    <w:rsid w:val="55F4534E"/>
    <w:rsid w:val="55F5BC1F"/>
    <w:rsid w:val="55F870F6"/>
    <w:rsid w:val="56018CB0"/>
    <w:rsid w:val="5601FCE8"/>
    <w:rsid w:val="5603DFB3"/>
    <w:rsid w:val="5604F935"/>
    <w:rsid w:val="5607571A"/>
    <w:rsid w:val="560AB519"/>
    <w:rsid w:val="560B55CE"/>
    <w:rsid w:val="56117387"/>
    <w:rsid w:val="5613EF43"/>
    <w:rsid w:val="5614453C"/>
    <w:rsid w:val="56144972"/>
    <w:rsid w:val="56146144"/>
    <w:rsid w:val="56146E71"/>
    <w:rsid w:val="56197B34"/>
    <w:rsid w:val="561A3923"/>
    <w:rsid w:val="561B77C6"/>
    <w:rsid w:val="561BB602"/>
    <w:rsid w:val="56257794"/>
    <w:rsid w:val="562D233C"/>
    <w:rsid w:val="562DA6F7"/>
    <w:rsid w:val="56349BBF"/>
    <w:rsid w:val="5635B950"/>
    <w:rsid w:val="563F77C6"/>
    <w:rsid w:val="563FE4C6"/>
    <w:rsid w:val="564FC0F4"/>
    <w:rsid w:val="5651643F"/>
    <w:rsid w:val="5652A664"/>
    <w:rsid w:val="56536AEB"/>
    <w:rsid w:val="56597925"/>
    <w:rsid w:val="565CE7E6"/>
    <w:rsid w:val="5660044A"/>
    <w:rsid w:val="56683214"/>
    <w:rsid w:val="5668FD06"/>
    <w:rsid w:val="5673A35F"/>
    <w:rsid w:val="567BBB50"/>
    <w:rsid w:val="568537EA"/>
    <w:rsid w:val="56873297"/>
    <w:rsid w:val="568852B0"/>
    <w:rsid w:val="5695D02A"/>
    <w:rsid w:val="569697D9"/>
    <w:rsid w:val="56A1F881"/>
    <w:rsid w:val="56A898D6"/>
    <w:rsid w:val="56A8CC65"/>
    <w:rsid w:val="56AAE570"/>
    <w:rsid w:val="56B4E371"/>
    <w:rsid w:val="56B93958"/>
    <w:rsid w:val="56BD3DBD"/>
    <w:rsid w:val="56C2EBED"/>
    <w:rsid w:val="56C41716"/>
    <w:rsid w:val="56C5F879"/>
    <w:rsid w:val="56C91AFE"/>
    <w:rsid w:val="56CCA134"/>
    <w:rsid w:val="56D113AA"/>
    <w:rsid w:val="56EAD85D"/>
    <w:rsid w:val="56EECE7C"/>
    <w:rsid w:val="56F41151"/>
    <w:rsid w:val="56FC9EB3"/>
    <w:rsid w:val="5705FFC1"/>
    <w:rsid w:val="570C61A5"/>
    <w:rsid w:val="5715D52F"/>
    <w:rsid w:val="571FBD2B"/>
    <w:rsid w:val="5720B811"/>
    <w:rsid w:val="573062CD"/>
    <w:rsid w:val="5734A844"/>
    <w:rsid w:val="57377B86"/>
    <w:rsid w:val="573E3156"/>
    <w:rsid w:val="57431FE9"/>
    <w:rsid w:val="57456233"/>
    <w:rsid w:val="57504007"/>
    <w:rsid w:val="5751421D"/>
    <w:rsid w:val="57595D86"/>
    <w:rsid w:val="575A4E31"/>
    <w:rsid w:val="575BE331"/>
    <w:rsid w:val="575BF46F"/>
    <w:rsid w:val="5762B609"/>
    <w:rsid w:val="5771DE15"/>
    <w:rsid w:val="57748370"/>
    <w:rsid w:val="577B9302"/>
    <w:rsid w:val="578272B5"/>
    <w:rsid w:val="5790E5F4"/>
    <w:rsid w:val="57A69524"/>
    <w:rsid w:val="57B34398"/>
    <w:rsid w:val="57B80D2D"/>
    <w:rsid w:val="57B8A4FE"/>
    <w:rsid w:val="57B8D1F7"/>
    <w:rsid w:val="57C10EDE"/>
    <w:rsid w:val="57C14BBB"/>
    <w:rsid w:val="57C60C95"/>
    <w:rsid w:val="57D0A2B4"/>
    <w:rsid w:val="57D1A2AC"/>
    <w:rsid w:val="57DEB978"/>
    <w:rsid w:val="57E35823"/>
    <w:rsid w:val="57E4006C"/>
    <w:rsid w:val="57E938AD"/>
    <w:rsid w:val="57E9BA8D"/>
    <w:rsid w:val="57EC54F4"/>
    <w:rsid w:val="57EC7D59"/>
    <w:rsid w:val="57EE56EA"/>
    <w:rsid w:val="57F326A7"/>
    <w:rsid w:val="5804E2AA"/>
    <w:rsid w:val="58050CC4"/>
    <w:rsid w:val="580AF15C"/>
    <w:rsid w:val="580C07BB"/>
    <w:rsid w:val="580F0164"/>
    <w:rsid w:val="5816B05F"/>
    <w:rsid w:val="58231704"/>
    <w:rsid w:val="582CF518"/>
    <w:rsid w:val="5834E6D7"/>
    <w:rsid w:val="58355415"/>
    <w:rsid w:val="58388894"/>
    <w:rsid w:val="5839B288"/>
    <w:rsid w:val="583FDEBA"/>
    <w:rsid w:val="58426E7D"/>
    <w:rsid w:val="5844DB73"/>
    <w:rsid w:val="5845C06C"/>
    <w:rsid w:val="5847D5E5"/>
    <w:rsid w:val="5853184B"/>
    <w:rsid w:val="5857E1DF"/>
    <w:rsid w:val="585EBB37"/>
    <w:rsid w:val="586A208F"/>
    <w:rsid w:val="58710BC7"/>
    <w:rsid w:val="5875763E"/>
    <w:rsid w:val="5875C3F4"/>
    <w:rsid w:val="587922DD"/>
    <w:rsid w:val="587C972A"/>
    <w:rsid w:val="588F08C0"/>
    <w:rsid w:val="588FC27D"/>
    <w:rsid w:val="58926AA6"/>
    <w:rsid w:val="5897F555"/>
    <w:rsid w:val="58A090AC"/>
    <w:rsid w:val="58A0CE59"/>
    <w:rsid w:val="58A404C7"/>
    <w:rsid w:val="58A8DCB3"/>
    <w:rsid w:val="58ABF6F8"/>
    <w:rsid w:val="58B2209A"/>
    <w:rsid w:val="58B486C5"/>
    <w:rsid w:val="58B68D62"/>
    <w:rsid w:val="58BA03C2"/>
    <w:rsid w:val="58BA2E29"/>
    <w:rsid w:val="58C09277"/>
    <w:rsid w:val="58CF329C"/>
    <w:rsid w:val="58D27256"/>
    <w:rsid w:val="58D65B45"/>
    <w:rsid w:val="58E1A06E"/>
    <w:rsid w:val="58E1A206"/>
    <w:rsid w:val="58E23399"/>
    <w:rsid w:val="58E5856A"/>
    <w:rsid w:val="58EB3570"/>
    <w:rsid w:val="58EBF69B"/>
    <w:rsid w:val="58EEBE5B"/>
    <w:rsid w:val="58FAD5E4"/>
    <w:rsid w:val="58FE0450"/>
    <w:rsid w:val="5903ABAC"/>
    <w:rsid w:val="5907EB3F"/>
    <w:rsid w:val="591C4B13"/>
    <w:rsid w:val="591DE081"/>
    <w:rsid w:val="592187F7"/>
    <w:rsid w:val="59269040"/>
    <w:rsid w:val="592D8108"/>
    <w:rsid w:val="5934C583"/>
    <w:rsid w:val="5934D951"/>
    <w:rsid w:val="593545BA"/>
    <w:rsid w:val="593F4997"/>
    <w:rsid w:val="594132DE"/>
    <w:rsid w:val="59444A24"/>
    <w:rsid w:val="5945B733"/>
    <w:rsid w:val="594A0AA2"/>
    <w:rsid w:val="594B3A45"/>
    <w:rsid w:val="594B6EB6"/>
    <w:rsid w:val="594EB685"/>
    <w:rsid w:val="595ACF95"/>
    <w:rsid w:val="5967F443"/>
    <w:rsid w:val="59684458"/>
    <w:rsid w:val="596B1DB5"/>
    <w:rsid w:val="596CD88E"/>
    <w:rsid w:val="596E5D80"/>
    <w:rsid w:val="59744825"/>
    <w:rsid w:val="59788638"/>
    <w:rsid w:val="5981558C"/>
    <w:rsid w:val="5988A77C"/>
    <w:rsid w:val="598F8BD0"/>
    <w:rsid w:val="5994526D"/>
    <w:rsid w:val="5996F8FA"/>
    <w:rsid w:val="599D7089"/>
    <w:rsid w:val="59A57888"/>
    <w:rsid w:val="59A74317"/>
    <w:rsid w:val="59AAAB0F"/>
    <w:rsid w:val="59AE4E53"/>
    <w:rsid w:val="59B5C44D"/>
    <w:rsid w:val="59B9DC1E"/>
    <w:rsid w:val="59BA3F07"/>
    <w:rsid w:val="59C2030C"/>
    <w:rsid w:val="59DBC8AA"/>
    <w:rsid w:val="59DEE1A3"/>
    <w:rsid w:val="59E2A076"/>
    <w:rsid w:val="59E324C5"/>
    <w:rsid w:val="59E3C2A5"/>
    <w:rsid w:val="59ED4C3F"/>
    <w:rsid w:val="59EF9F8E"/>
    <w:rsid w:val="59F0017D"/>
    <w:rsid w:val="59F59201"/>
    <w:rsid w:val="5A0C7274"/>
    <w:rsid w:val="5A0D0F72"/>
    <w:rsid w:val="5A158122"/>
    <w:rsid w:val="5A15E324"/>
    <w:rsid w:val="5A26C557"/>
    <w:rsid w:val="5A321E8B"/>
    <w:rsid w:val="5A34F1E7"/>
    <w:rsid w:val="5A414349"/>
    <w:rsid w:val="5A44FB22"/>
    <w:rsid w:val="5A495A46"/>
    <w:rsid w:val="5A4D64ED"/>
    <w:rsid w:val="5A50F34E"/>
    <w:rsid w:val="5A529ED9"/>
    <w:rsid w:val="5A57EAA3"/>
    <w:rsid w:val="5A63B5B9"/>
    <w:rsid w:val="5A643C56"/>
    <w:rsid w:val="5A65E159"/>
    <w:rsid w:val="5A754CB5"/>
    <w:rsid w:val="5A779505"/>
    <w:rsid w:val="5A82E9F8"/>
    <w:rsid w:val="5A853FE6"/>
    <w:rsid w:val="5A8A308B"/>
    <w:rsid w:val="5A8C49E4"/>
    <w:rsid w:val="5A8DCAA5"/>
    <w:rsid w:val="5A9360C8"/>
    <w:rsid w:val="5A947EFD"/>
    <w:rsid w:val="5A9C5815"/>
    <w:rsid w:val="5AA41DEF"/>
    <w:rsid w:val="5AA54C9B"/>
    <w:rsid w:val="5AA5BC9B"/>
    <w:rsid w:val="5AA752F0"/>
    <w:rsid w:val="5AA94F01"/>
    <w:rsid w:val="5AB5D901"/>
    <w:rsid w:val="5ABE22D2"/>
    <w:rsid w:val="5ACF00A6"/>
    <w:rsid w:val="5ACF8A86"/>
    <w:rsid w:val="5AD220D8"/>
    <w:rsid w:val="5AD76735"/>
    <w:rsid w:val="5ADD3505"/>
    <w:rsid w:val="5AE19E00"/>
    <w:rsid w:val="5AE2E604"/>
    <w:rsid w:val="5AE3EDCF"/>
    <w:rsid w:val="5AE91729"/>
    <w:rsid w:val="5AEEFB3E"/>
    <w:rsid w:val="5AF3529D"/>
    <w:rsid w:val="5AF8308F"/>
    <w:rsid w:val="5AF869BE"/>
    <w:rsid w:val="5B0AF253"/>
    <w:rsid w:val="5B0B8F8F"/>
    <w:rsid w:val="5B0CB859"/>
    <w:rsid w:val="5B1032EE"/>
    <w:rsid w:val="5B11F509"/>
    <w:rsid w:val="5B14AEB8"/>
    <w:rsid w:val="5B14FF5B"/>
    <w:rsid w:val="5B19082E"/>
    <w:rsid w:val="5B1C9B3D"/>
    <w:rsid w:val="5B1CA97E"/>
    <w:rsid w:val="5B233413"/>
    <w:rsid w:val="5B2C9677"/>
    <w:rsid w:val="5B2D1F69"/>
    <w:rsid w:val="5B3259E3"/>
    <w:rsid w:val="5B32E9EC"/>
    <w:rsid w:val="5B32F2C3"/>
    <w:rsid w:val="5B34330D"/>
    <w:rsid w:val="5B3F7CE9"/>
    <w:rsid w:val="5B41C5AF"/>
    <w:rsid w:val="5B44A8FB"/>
    <w:rsid w:val="5B487F88"/>
    <w:rsid w:val="5B4AD4ED"/>
    <w:rsid w:val="5B5B9547"/>
    <w:rsid w:val="5B636AAC"/>
    <w:rsid w:val="5B70C35C"/>
    <w:rsid w:val="5B77D59A"/>
    <w:rsid w:val="5B7DA531"/>
    <w:rsid w:val="5B7DABE6"/>
    <w:rsid w:val="5B7EF792"/>
    <w:rsid w:val="5B853518"/>
    <w:rsid w:val="5B8EE9B2"/>
    <w:rsid w:val="5B971B8A"/>
    <w:rsid w:val="5B9BDBD6"/>
    <w:rsid w:val="5BA41AD0"/>
    <w:rsid w:val="5BA8C21B"/>
    <w:rsid w:val="5BAA145C"/>
    <w:rsid w:val="5BACC142"/>
    <w:rsid w:val="5BACE852"/>
    <w:rsid w:val="5BB071E5"/>
    <w:rsid w:val="5BB4E1B0"/>
    <w:rsid w:val="5BB774E1"/>
    <w:rsid w:val="5BB80E46"/>
    <w:rsid w:val="5BBB7D5C"/>
    <w:rsid w:val="5BBF4FF2"/>
    <w:rsid w:val="5BC5B6DC"/>
    <w:rsid w:val="5BC6C6BE"/>
    <w:rsid w:val="5BCA7E3A"/>
    <w:rsid w:val="5BCCA99D"/>
    <w:rsid w:val="5BCFB0EB"/>
    <w:rsid w:val="5BEA213F"/>
    <w:rsid w:val="5BEBB9E5"/>
    <w:rsid w:val="5BEF8373"/>
    <w:rsid w:val="5BF5DB88"/>
    <w:rsid w:val="5BF5FCB9"/>
    <w:rsid w:val="5BFD5379"/>
    <w:rsid w:val="5C0C2C7D"/>
    <w:rsid w:val="5C0C92A4"/>
    <w:rsid w:val="5C155A05"/>
    <w:rsid w:val="5C18BC48"/>
    <w:rsid w:val="5C1BCDDD"/>
    <w:rsid w:val="5C1EBE64"/>
    <w:rsid w:val="5C220390"/>
    <w:rsid w:val="5C2318AA"/>
    <w:rsid w:val="5C331919"/>
    <w:rsid w:val="5C3637EA"/>
    <w:rsid w:val="5C3C30F3"/>
    <w:rsid w:val="5C3D200A"/>
    <w:rsid w:val="5C40EBCB"/>
    <w:rsid w:val="5C451AA9"/>
    <w:rsid w:val="5C489BD3"/>
    <w:rsid w:val="5C49BC3C"/>
    <w:rsid w:val="5C49DB19"/>
    <w:rsid w:val="5C4B0299"/>
    <w:rsid w:val="5C525315"/>
    <w:rsid w:val="5C590132"/>
    <w:rsid w:val="5C5A947A"/>
    <w:rsid w:val="5C614719"/>
    <w:rsid w:val="5C62924A"/>
    <w:rsid w:val="5C704918"/>
    <w:rsid w:val="5C73E858"/>
    <w:rsid w:val="5C743F6A"/>
    <w:rsid w:val="5C789334"/>
    <w:rsid w:val="5C7E1C64"/>
    <w:rsid w:val="5C7E1DE3"/>
    <w:rsid w:val="5C7F2542"/>
    <w:rsid w:val="5C800E46"/>
    <w:rsid w:val="5C845725"/>
    <w:rsid w:val="5C87FD97"/>
    <w:rsid w:val="5C8E58EF"/>
    <w:rsid w:val="5C9412E7"/>
    <w:rsid w:val="5CA9E796"/>
    <w:rsid w:val="5CAD97E0"/>
    <w:rsid w:val="5CB2175D"/>
    <w:rsid w:val="5CB86F80"/>
    <w:rsid w:val="5CB8DF02"/>
    <w:rsid w:val="5CC1D0A4"/>
    <w:rsid w:val="5CCB9790"/>
    <w:rsid w:val="5CCBB671"/>
    <w:rsid w:val="5CDA101B"/>
    <w:rsid w:val="5CDBA3F8"/>
    <w:rsid w:val="5CE1D596"/>
    <w:rsid w:val="5CEA5601"/>
    <w:rsid w:val="5CF75136"/>
    <w:rsid w:val="5CF81B93"/>
    <w:rsid w:val="5CFEA9EA"/>
    <w:rsid w:val="5D0EEA4A"/>
    <w:rsid w:val="5D1382F3"/>
    <w:rsid w:val="5D14759E"/>
    <w:rsid w:val="5D156DF7"/>
    <w:rsid w:val="5D179AC5"/>
    <w:rsid w:val="5D1831F2"/>
    <w:rsid w:val="5D1849DB"/>
    <w:rsid w:val="5D1CE266"/>
    <w:rsid w:val="5D1D5322"/>
    <w:rsid w:val="5D223673"/>
    <w:rsid w:val="5D25AD51"/>
    <w:rsid w:val="5D2A6C62"/>
    <w:rsid w:val="5D2CE869"/>
    <w:rsid w:val="5D322B06"/>
    <w:rsid w:val="5D326553"/>
    <w:rsid w:val="5D36212F"/>
    <w:rsid w:val="5D3CE917"/>
    <w:rsid w:val="5D3D25C2"/>
    <w:rsid w:val="5D407C50"/>
    <w:rsid w:val="5D528980"/>
    <w:rsid w:val="5D5787DF"/>
    <w:rsid w:val="5D6B1D93"/>
    <w:rsid w:val="5D6BB526"/>
    <w:rsid w:val="5D6E299E"/>
    <w:rsid w:val="5D7B1B91"/>
    <w:rsid w:val="5D7B664F"/>
    <w:rsid w:val="5D7D51AA"/>
    <w:rsid w:val="5D814D6C"/>
    <w:rsid w:val="5D85C386"/>
    <w:rsid w:val="5D8761D7"/>
    <w:rsid w:val="5D88D8EA"/>
    <w:rsid w:val="5D8A6117"/>
    <w:rsid w:val="5D8AF08C"/>
    <w:rsid w:val="5D8CFAA3"/>
    <w:rsid w:val="5D8E0E37"/>
    <w:rsid w:val="5D9D6F33"/>
    <w:rsid w:val="5DA2D70B"/>
    <w:rsid w:val="5DA339E5"/>
    <w:rsid w:val="5DA3AB36"/>
    <w:rsid w:val="5DAF2A0D"/>
    <w:rsid w:val="5DB0ADA9"/>
    <w:rsid w:val="5DB6049F"/>
    <w:rsid w:val="5DBEF7E5"/>
    <w:rsid w:val="5DC37118"/>
    <w:rsid w:val="5DCC1667"/>
    <w:rsid w:val="5DD36B0E"/>
    <w:rsid w:val="5DD5EC72"/>
    <w:rsid w:val="5DD8E6F0"/>
    <w:rsid w:val="5DE543D1"/>
    <w:rsid w:val="5DEDF605"/>
    <w:rsid w:val="5DFC294B"/>
    <w:rsid w:val="5DFE6DF0"/>
    <w:rsid w:val="5E00BAF7"/>
    <w:rsid w:val="5E025C7A"/>
    <w:rsid w:val="5E06832F"/>
    <w:rsid w:val="5E0B6075"/>
    <w:rsid w:val="5E0EE203"/>
    <w:rsid w:val="5E125C5D"/>
    <w:rsid w:val="5E18474C"/>
    <w:rsid w:val="5E1880F1"/>
    <w:rsid w:val="5E19B135"/>
    <w:rsid w:val="5E1F2B4D"/>
    <w:rsid w:val="5E25586E"/>
    <w:rsid w:val="5E27EA14"/>
    <w:rsid w:val="5E2C1C00"/>
    <w:rsid w:val="5E2CEE3B"/>
    <w:rsid w:val="5E30359E"/>
    <w:rsid w:val="5E3373A4"/>
    <w:rsid w:val="5E3803CD"/>
    <w:rsid w:val="5E3B0ABF"/>
    <w:rsid w:val="5E3BD391"/>
    <w:rsid w:val="5E3C4553"/>
    <w:rsid w:val="5E46DDC9"/>
    <w:rsid w:val="5E4826D2"/>
    <w:rsid w:val="5E4C9FF3"/>
    <w:rsid w:val="5E4DFC03"/>
    <w:rsid w:val="5E544387"/>
    <w:rsid w:val="5E547E62"/>
    <w:rsid w:val="5E54DC7B"/>
    <w:rsid w:val="5E5D2177"/>
    <w:rsid w:val="5E6CCF69"/>
    <w:rsid w:val="5E7A3729"/>
    <w:rsid w:val="5E81458C"/>
    <w:rsid w:val="5E8320D9"/>
    <w:rsid w:val="5E89D6CD"/>
    <w:rsid w:val="5E8B24FD"/>
    <w:rsid w:val="5E8D7CE7"/>
    <w:rsid w:val="5E940EA1"/>
    <w:rsid w:val="5E94E822"/>
    <w:rsid w:val="5E993A57"/>
    <w:rsid w:val="5E9A6DAB"/>
    <w:rsid w:val="5EA50C46"/>
    <w:rsid w:val="5EA59F7F"/>
    <w:rsid w:val="5EA6F769"/>
    <w:rsid w:val="5EA7B40E"/>
    <w:rsid w:val="5EAABF62"/>
    <w:rsid w:val="5EAF3C2A"/>
    <w:rsid w:val="5EB83846"/>
    <w:rsid w:val="5EB8B5A6"/>
    <w:rsid w:val="5EB8E27A"/>
    <w:rsid w:val="5EB9C67B"/>
    <w:rsid w:val="5EBA8EB9"/>
    <w:rsid w:val="5ECCB12F"/>
    <w:rsid w:val="5ED01996"/>
    <w:rsid w:val="5ED27E36"/>
    <w:rsid w:val="5ED39764"/>
    <w:rsid w:val="5EDEE5ED"/>
    <w:rsid w:val="5EEEA001"/>
    <w:rsid w:val="5EEECC78"/>
    <w:rsid w:val="5EF6A032"/>
    <w:rsid w:val="5EF9DD0E"/>
    <w:rsid w:val="5EFACD25"/>
    <w:rsid w:val="5F007162"/>
    <w:rsid w:val="5F05D894"/>
    <w:rsid w:val="5F06D776"/>
    <w:rsid w:val="5F07AB73"/>
    <w:rsid w:val="5F09AFAD"/>
    <w:rsid w:val="5F14535F"/>
    <w:rsid w:val="5F1710F6"/>
    <w:rsid w:val="5F1999B9"/>
    <w:rsid w:val="5F1A6258"/>
    <w:rsid w:val="5F1C6021"/>
    <w:rsid w:val="5F1F1A03"/>
    <w:rsid w:val="5F231E6F"/>
    <w:rsid w:val="5F274E1B"/>
    <w:rsid w:val="5F2F8BF5"/>
    <w:rsid w:val="5F333AEF"/>
    <w:rsid w:val="5F347EE5"/>
    <w:rsid w:val="5F34803C"/>
    <w:rsid w:val="5F3DB7B4"/>
    <w:rsid w:val="5F3E0022"/>
    <w:rsid w:val="5F3F5CA8"/>
    <w:rsid w:val="5F509ADD"/>
    <w:rsid w:val="5F50B0EB"/>
    <w:rsid w:val="5F52039D"/>
    <w:rsid w:val="5F586614"/>
    <w:rsid w:val="5F61D7D6"/>
    <w:rsid w:val="5F65E7E2"/>
    <w:rsid w:val="5F68509E"/>
    <w:rsid w:val="5F73898A"/>
    <w:rsid w:val="5F764074"/>
    <w:rsid w:val="5F7705AA"/>
    <w:rsid w:val="5F8CE635"/>
    <w:rsid w:val="5F8DE3A3"/>
    <w:rsid w:val="5F90D319"/>
    <w:rsid w:val="5F936186"/>
    <w:rsid w:val="5F99BF9F"/>
    <w:rsid w:val="5FA056E1"/>
    <w:rsid w:val="5FA2FCC6"/>
    <w:rsid w:val="5FA63708"/>
    <w:rsid w:val="5FA87CA2"/>
    <w:rsid w:val="5FAF5AB1"/>
    <w:rsid w:val="5FB53D53"/>
    <w:rsid w:val="5FC2CEA9"/>
    <w:rsid w:val="5FD16A21"/>
    <w:rsid w:val="5FD555F8"/>
    <w:rsid w:val="5FD5FF90"/>
    <w:rsid w:val="5FD8852E"/>
    <w:rsid w:val="5FDA5DEF"/>
    <w:rsid w:val="5FDB8028"/>
    <w:rsid w:val="5FDC04F6"/>
    <w:rsid w:val="5FE8947D"/>
    <w:rsid w:val="5FEFF204"/>
    <w:rsid w:val="5FF0B1C9"/>
    <w:rsid w:val="5FF493FC"/>
    <w:rsid w:val="5FF53E08"/>
    <w:rsid w:val="5FF5D9D1"/>
    <w:rsid w:val="5FFDFF88"/>
    <w:rsid w:val="60072799"/>
    <w:rsid w:val="600A304D"/>
    <w:rsid w:val="600BF62B"/>
    <w:rsid w:val="6018C5FF"/>
    <w:rsid w:val="6019AE76"/>
    <w:rsid w:val="601B4B2D"/>
    <w:rsid w:val="601EC89B"/>
    <w:rsid w:val="60250567"/>
    <w:rsid w:val="6027CC8E"/>
    <w:rsid w:val="602ADBB7"/>
    <w:rsid w:val="603112C8"/>
    <w:rsid w:val="603AA617"/>
    <w:rsid w:val="603CF411"/>
    <w:rsid w:val="6042499E"/>
    <w:rsid w:val="6043A360"/>
    <w:rsid w:val="60494C93"/>
    <w:rsid w:val="604CB2C3"/>
    <w:rsid w:val="60513C2C"/>
    <w:rsid w:val="605A4783"/>
    <w:rsid w:val="60676673"/>
    <w:rsid w:val="6068E588"/>
    <w:rsid w:val="606AC996"/>
    <w:rsid w:val="606AF27E"/>
    <w:rsid w:val="606C0A13"/>
    <w:rsid w:val="606F7E0E"/>
    <w:rsid w:val="60742E0C"/>
    <w:rsid w:val="608041DC"/>
    <w:rsid w:val="608C49CC"/>
    <w:rsid w:val="608C977E"/>
    <w:rsid w:val="608DA914"/>
    <w:rsid w:val="60951657"/>
    <w:rsid w:val="60A4D4C0"/>
    <w:rsid w:val="60A94027"/>
    <w:rsid w:val="60B0E602"/>
    <w:rsid w:val="60B1278E"/>
    <w:rsid w:val="60B1AC16"/>
    <w:rsid w:val="60B3A3D3"/>
    <w:rsid w:val="60B7AB3D"/>
    <w:rsid w:val="60B802C8"/>
    <w:rsid w:val="60B94864"/>
    <w:rsid w:val="60BCE771"/>
    <w:rsid w:val="60C9D85C"/>
    <w:rsid w:val="60CA244D"/>
    <w:rsid w:val="60CBDBA5"/>
    <w:rsid w:val="60CD6633"/>
    <w:rsid w:val="60D5B8A3"/>
    <w:rsid w:val="60D97DA1"/>
    <w:rsid w:val="60DAF411"/>
    <w:rsid w:val="60E0C941"/>
    <w:rsid w:val="60EB89B2"/>
    <w:rsid w:val="60EC6E25"/>
    <w:rsid w:val="60F5DE8C"/>
    <w:rsid w:val="60FFDE0A"/>
    <w:rsid w:val="61018806"/>
    <w:rsid w:val="6105210C"/>
    <w:rsid w:val="610651BD"/>
    <w:rsid w:val="6106D27A"/>
    <w:rsid w:val="61094341"/>
    <w:rsid w:val="610A1374"/>
    <w:rsid w:val="610A50C4"/>
    <w:rsid w:val="6110A756"/>
    <w:rsid w:val="611105E8"/>
    <w:rsid w:val="611ACDC5"/>
    <w:rsid w:val="611EEBE0"/>
    <w:rsid w:val="6129F809"/>
    <w:rsid w:val="612D0517"/>
    <w:rsid w:val="6136BC2F"/>
    <w:rsid w:val="613C4068"/>
    <w:rsid w:val="613DE97E"/>
    <w:rsid w:val="613F502D"/>
    <w:rsid w:val="61427530"/>
    <w:rsid w:val="61464096"/>
    <w:rsid w:val="614F1502"/>
    <w:rsid w:val="6156B349"/>
    <w:rsid w:val="615C80B3"/>
    <w:rsid w:val="615D16B0"/>
    <w:rsid w:val="616152E0"/>
    <w:rsid w:val="61621944"/>
    <w:rsid w:val="6165E632"/>
    <w:rsid w:val="616B6AC6"/>
    <w:rsid w:val="616EEB97"/>
    <w:rsid w:val="61718332"/>
    <w:rsid w:val="6179D6DD"/>
    <w:rsid w:val="617CC855"/>
    <w:rsid w:val="618755E2"/>
    <w:rsid w:val="6187EA1D"/>
    <w:rsid w:val="6189BE69"/>
    <w:rsid w:val="618BDA61"/>
    <w:rsid w:val="618CA29E"/>
    <w:rsid w:val="618F49E7"/>
    <w:rsid w:val="6191B423"/>
    <w:rsid w:val="6191F2E5"/>
    <w:rsid w:val="619C08A1"/>
    <w:rsid w:val="619DC219"/>
    <w:rsid w:val="619F738F"/>
    <w:rsid w:val="61A3CE03"/>
    <w:rsid w:val="61A5E444"/>
    <w:rsid w:val="61AEA3C1"/>
    <w:rsid w:val="61B06B02"/>
    <w:rsid w:val="61B0E4E4"/>
    <w:rsid w:val="61B2F756"/>
    <w:rsid w:val="61C551D6"/>
    <w:rsid w:val="61CA8E69"/>
    <w:rsid w:val="61CB8541"/>
    <w:rsid w:val="61CC6BBF"/>
    <w:rsid w:val="61D494FD"/>
    <w:rsid w:val="61D8D41F"/>
    <w:rsid w:val="61DE1C37"/>
    <w:rsid w:val="61E2464A"/>
    <w:rsid w:val="61E2E50B"/>
    <w:rsid w:val="61EFC902"/>
    <w:rsid w:val="61F007DB"/>
    <w:rsid w:val="61F25895"/>
    <w:rsid w:val="61F90171"/>
    <w:rsid w:val="61FAAB16"/>
    <w:rsid w:val="61FAC4CB"/>
    <w:rsid w:val="61FAF64B"/>
    <w:rsid w:val="61FBD06F"/>
    <w:rsid w:val="61FC4350"/>
    <w:rsid w:val="620E9A17"/>
    <w:rsid w:val="620FD19B"/>
    <w:rsid w:val="62118B3D"/>
    <w:rsid w:val="6219F613"/>
    <w:rsid w:val="621B37D2"/>
    <w:rsid w:val="621BD994"/>
    <w:rsid w:val="621D6BAB"/>
    <w:rsid w:val="62228BE5"/>
    <w:rsid w:val="622CD959"/>
    <w:rsid w:val="62315DA8"/>
    <w:rsid w:val="623529E5"/>
    <w:rsid w:val="62383FD4"/>
    <w:rsid w:val="62392595"/>
    <w:rsid w:val="623B9D50"/>
    <w:rsid w:val="623CC77D"/>
    <w:rsid w:val="623FE340"/>
    <w:rsid w:val="6240071A"/>
    <w:rsid w:val="62471A79"/>
    <w:rsid w:val="624A1ED0"/>
    <w:rsid w:val="624B40D5"/>
    <w:rsid w:val="624D799F"/>
    <w:rsid w:val="624F4119"/>
    <w:rsid w:val="62598A1D"/>
    <w:rsid w:val="6259A2A1"/>
    <w:rsid w:val="6259C2EA"/>
    <w:rsid w:val="625C5C9F"/>
    <w:rsid w:val="626130A9"/>
    <w:rsid w:val="626ED1A8"/>
    <w:rsid w:val="627B52CD"/>
    <w:rsid w:val="6281AB81"/>
    <w:rsid w:val="6288F742"/>
    <w:rsid w:val="6289C78A"/>
    <w:rsid w:val="628E098B"/>
    <w:rsid w:val="628E9316"/>
    <w:rsid w:val="6298D4BF"/>
    <w:rsid w:val="62A003F6"/>
    <w:rsid w:val="62ACF1BC"/>
    <w:rsid w:val="62AD4FC2"/>
    <w:rsid w:val="62B230CA"/>
    <w:rsid w:val="62B34D43"/>
    <w:rsid w:val="62B585DF"/>
    <w:rsid w:val="62BB035F"/>
    <w:rsid w:val="62BF4B16"/>
    <w:rsid w:val="62C1D2C1"/>
    <w:rsid w:val="62C94F58"/>
    <w:rsid w:val="62CC03E4"/>
    <w:rsid w:val="62CEA250"/>
    <w:rsid w:val="62CF7E81"/>
    <w:rsid w:val="62D84D6F"/>
    <w:rsid w:val="62E6B83B"/>
    <w:rsid w:val="62F2604E"/>
    <w:rsid w:val="62F2A12D"/>
    <w:rsid w:val="62F5BE00"/>
    <w:rsid w:val="62FBB5E4"/>
    <w:rsid w:val="630A2D77"/>
    <w:rsid w:val="630FEC8A"/>
    <w:rsid w:val="63120BA7"/>
    <w:rsid w:val="6328E861"/>
    <w:rsid w:val="63348A82"/>
    <w:rsid w:val="6335D273"/>
    <w:rsid w:val="6336D3A1"/>
    <w:rsid w:val="6338EA32"/>
    <w:rsid w:val="6339BA04"/>
    <w:rsid w:val="6339D60B"/>
    <w:rsid w:val="6339E4B3"/>
    <w:rsid w:val="633C87AF"/>
    <w:rsid w:val="633E6A44"/>
    <w:rsid w:val="6343E1E9"/>
    <w:rsid w:val="634AABE9"/>
    <w:rsid w:val="634B9B56"/>
    <w:rsid w:val="63660CD9"/>
    <w:rsid w:val="637A4E76"/>
    <w:rsid w:val="637D481D"/>
    <w:rsid w:val="63865730"/>
    <w:rsid w:val="6386774A"/>
    <w:rsid w:val="638ABBBC"/>
    <w:rsid w:val="638D70B6"/>
    <w:rsid w:val="63929458"/>
    <w:rsid w:val="639D48AA"/>
    <w:rsid w:val="63A5347B"/>
    <w:rsid w:val="63A77643"/>
    <w:rsid w:val="63AB992D"/>
    <w:rsid w:val="63B0FB2F"/>
    <w:rsid w:val="63B1C40A"/>
    <w:rsid w:val="63B9C70B"/>
    <w:rsid w:val="63BC9874"/>
    <w:rsid w:val="63BCF049"/>
    <w:rsid w:val="63BF30E9"/>
    <w:rsid w:val="63C2D678"/>
    <w:rsid w:val="63C67794"/>
    <w:rsid w:val="63CC1EEC"/>
    <w:rsid w:val="63CF67A3"/>
    <w:rsid w:val="63D111D6"/>
    <w:rsid w:val="63D5F2C1"/>
    <w:rsid w:val="63DECCE6"/>
    <w:rsid w:val="63ED9926"/>
    <w:rsid w:val="63F2EC68"/>
    <w:rsid w:val="6404E203"/>
    <w:rsid w:val="64082010"/>
    <w:rsid w:val="640BDBF0"/>
    <w:rsid w:val="640C88B5"/>
    <w:rsid w:val="640DA103"/>
    <w:rsid w:val="640DCE70"/>
    <w:rsid w:val="6417DBB8"/>
    <w:rsid w:val="6418C4E9"/>
    <w:rsid w:val="641CDE93"/>
    <w:rsid w:val="64274349"/>
    <w:rsid w:val="642D0C4B"/>
    <w:rsid w:val="642E88A4"/>
    <w:rsid w:val="6432D8EF"/>
    <w:rsid w:val="6443B865"/>
    <w:rsid w:val="644478FA"/>
    <w:rsid w:val="6449E424"/>
    <w:rsid w:val="644ECD7C"/>
    <w:rsid w:val="64502CFE"/>
    <w:rsid w:val="64527E3F"/>
    <w:rsid w:val="6454E87F"/>
    <w:rsid w:val="64582AEE"/>
    <w:rsid w:val="645921B5"/>
    <w:rsid w:val="645D2BCD"/>
    <w:rsid w:val="6463018A"/>
    <w:rsid w:val="646355B8"/>
    <w:rsid w:val="6471A8B1"/>
    <w:rsid w:val="64746370"/>
    <w:rsid w:val="647886EB"/>
    <w:rsid w:val="64790378"/>
    <w:rsid w:val="647C7522"/>
    <w:rsid w:val="648A00CA"/>
    <w:rsid w:val="648DBA8C"/>
    <w:rsid w:val="6493541E"/>
    <w:rsid w:val="649708D6"/>
    <w:rsid w:val="649BAA74"/>
    <w:rsid w:val="64A5EEF6"/>
    <w:rsid w:val="64AA16AC"/>
    <w:rsid w:val="64AECAC4"/>
    <w:rsid w:val="64B0059A"/>
    <w:rsid w:val="64B0DFC3"/>
    <w:rsid w:val="64BBBAF8"/>
    <w:rsid w:val="64C39D25"/>
    <w:rsid w:val="64C55AA5"/>
    <w:rsid w:val="64C9AF87"/>
    <w:rsid w:val="64D379D5"/>
    <w:rsid w:val="64DC035A"/>
    <w:rsid w:val="64E4ED99"/>
    <w:rsid w:val="64E84BDE"/>
    <w:rsid w:val="64E8AE7E"/>
    <w:rsid w:val="64EA59AD"/>
    <w:rsid w:val="64ED5CAA"/>
    <w:rsid w:val="64EF051F"/>
    <w:rsid w:val="64F1BB69"/>
    <w:rsid w:val="64F5143A"/>
    <w:rsid w:val="64FCC5AF"/>
    <w:rsid w:val="65022641"/>
    <w:rsid w:val="65033B37"/>
    <w:rsid w:val="65047B24"/>
    <w:rsid w:val="650E3AF9"/>
    <w:rsid w:val="65115C9C"/>
    <w:rsid w:val="651738D4"/>
    <w:rsid w:val="6517C0DD"/>
    <w:rsid w:val="6519CCEF"/>
    <w:rsid w:val="65217115"/>
    <w:rsid w:val="65221836"/>
    <w:rsid w:val="652A6D93"/>
    <w:rsid w:val="65396031"/>
    <w:rsid w:val="653CB150"/>
    <w:rsid w:val="653E91F8"/>
    <w:rsid w:val="6548EA4E"/>
    <w:rsid w:val="654E15C6"/>
    <w:rsid w:val="65561FE3"/>
    <w:rsid w:val="656099B7"/>
    <w:rsid w:val="65780D90"/>
    <w:rsid w:val="6582C5BD"/>
    <w:rsid w:val="658DE1AE"/>
    <w:rsid w:val="658F5EF5"/>
    <w:rsid w:val="65976262"/>
    <w:rsid w:val="65A073FA"/>
    <w:rsid w:val="65A609D1"/>
    <w:rsid w:val="65A81F4D"/>
    <w:rsid w:val="65A8EF36"/>
    <w:rsid w:val="65A96B8C"/>
    <w:rsid w:val="65AE4452"/>
    <w:rsid w:val="65B2C0DF"/>
    <w:rsid w:val="65B80474"/>
    <w:rsid w:val="65B85ADB"/>
    <w:rsid w:val="65BAA1A3"/>
    <w:rsid w:val="65C3188D"/>
    <w:rsid w:val="65C35A94"/>
    <w:rsid w:val="65D0C011"/>
    <w:rsid w:val="65DFD7D7"/>
    <w:rsid w:val="65ED4DD4"/>
    <w:rsid w:val="660497B3"/>
    <w:rsid w:val="660D654A"/>
    <w:rsid w:val="660E6FCA"/>
    <w:rsid w:val="66130449"/>
    <w:rsid w:val="6616E414"/>
    <w:rsid w:val="661B12EC"/>
    <w:rsid w:val="66235E91"/>
    <w:rsid w:val="662C35C7"/>
    <w:rsid w:val="6630537C"/>
    <w:rsid w:val="663154A0"/>
    <w:rsid w:val="663453DA"/>
    <w:rsid w:val="66350CF5"/>
    <w:rsid w:val="66382CC8"/>
    <w:rsid w:val="66387CB2"/>
    <w:rsid w:val="663B2B42"/>
    <w:rsid w:val="663B5081"/>
    <w:rsid w:val="663E25D5"/>
    <w:rsid w:val="663F69B7"/>
    <w:rsid w:val="664553F9"/>
    <w:rsid w:val="664807A0"/>
    <w:rsid w:val="6650D465"/>
    <w:rsid w:val="66526CEF"/>
    <w:rsid w:val="666A4CFF"/>
    <w:rsid w:val="666F2D12"/>
    <w:rsid w:val="667A1C42"/>
    <w:rsid w:val="667C8133"/>
    <w:rsid w:val="667E5F89"/>
    <w:rsid w:val="66819299"/>
    <w:rsid w:val="66846694"/>
    <w:rsid w:val="6684820E"/>
    <w:rsid w:val="668A31C5"/>
    <w:rsid w:val="668BF288"/>
    <w:rsid w:val="668D57BE"/>
    <w:rsid w:val="668E3EB7"/>
    <w:rsid w:val="66908BB1"/>
    <w:rsid w:val="669459A0"/>
    <w:rsid w:val="66958A55"/>
    <w:rsid w:val="6698FABE"/>
    <w:rsid w:val="66990D01"/>
    <w:rsid w:val="66A001B0"/>
    <w:rsid w:val="66A3BDA6"/>
    <w:rsid w:val="66A45878"/>
    <w:rsid w:val="66A6A9C4"/>
    <w:rsid w:val="66A73A78"/>
    <w:rsid w:val="66A7C1CA"/>
    <w:rsid w:val="66AA4D3B"/>
    <w:rsid w:val="66AE5D8D"/>
    <w:rsid w:val="66B266BE"/>
    <w:rsid w:val="66BD9E85"/>
    <w:rsid w:val="66BDFD29"/>
    <w:rsid w:val="66C38BF3"/>
    <w:rsid w:val="66C3A6D5"/>
    <w:rsid w:val="66C58DF8"/>
    <w:rsid w:val="66EA41AD"/>
    <w:rsid w:val="66EBDF14"/>
    <w:rsid w:val="66EEE060"/>
    <w:rsid w:val="66EEE6FC"/>
    <w:rsid w:val="66F12903"/>
    <w:rsid w:val="66F2CB66"/>
    <w:rsid w:val="66F68229"/>
    <w:rsid w:val="66F702B8"/>
    <w:rsid w:val="66F7CD0D"/>
    <w:rsid w:val="66F97918"/>
    <w:rsid w:val="66FF2F0F"/>
    <w:rsid w:val="67014453"/>
    <w:rsid w:val="6702198C"/>
    <w:rsid w:val="67053BA9"/>
    <w:rsid w:val="670720A9"/>
    <w:rsid w:val="6707E07C"/>
    <w:rsid w:val="670DE643"/>
    <w:rsid w:val="6717585A"/>
    <w:rsid w:val="671BDDFD"/>
    <w:rsid w:val="6720A48B"/>
    <w:rsid w:val="67213EB2"/>
    <w:rsid w:val="67217760"/>
    <w:rsid w:val="6722021B"/>
    <w:rsid w:val="6723A013"/>
    <w:rsid w:val="67264297"/>
    <w:rsid w:val="6726F0FF"/>
    <w:rsid w:val="67279DAB"/>
    <w:rsid w:val="672ADA25"/>
    <w:rsid w:val="672E9981"/>
    <w:rsid w:val="6731865F"/>
    <w:rsid w:val="673373E0"/>
    <w:rsid w:val="67395F83"/>
    <w:rsid w:val="673ACAF1"/>
    <w:rsid w:val="673BF251"/>
    <w:rsid w:val="67444446"/>
    <w:rsid w:val="67463FCC"/>
    <w:rsid w:val="674EE5CD"/>
    <w:rsid w:val="674FB39A"/>
    <w:rsid w:val="67521D19"/>
    <w:rsid w:val="6757F923"/>
    <w:rsid w:val="675A7FA6"/>
    <w:rsid w:val="67633269"/>
    <w:rsid w:val="6769A0D9"/>
    <w:rsid w:val="6775F154"/>
    <w:rsid w:val="6776986B"/>
    <w:rsid w:val="677B6339"/>
    <w:rsid w:val="67855905"/>
    <w:rsid w:val="67860288"/>
    <w:rsid w:val="679016F4"/>
    <w:rsid w:val="67915723"/>
    <w:rsid w:val="6792121E"/>
    <w:rsid w:val="679614A9"/>
    <w:rsid w:val="679C1FEB"/>
    <w:rsid w:val="679EFFCC"/>
    <w:rsid w:val="67A506FB"/>
    <w:rsid w:val="67A6E990"/>
    <w:rsid w:val="67C91269"/>
    <w:rsid w:val="67CBE8D6"/>
    <w:rsid w:val="67D0B1AE"/>
    <w:rsid w:val="67D41CA4"/>
    <w:rsid w:val="67D774D3"/>
    <w:rsid w:val="67E43F16"/>
    <w:rsid w:val="67E48942"/>
    <w:rsid w:val="67E67DB6"/>
    <w:rsid w:val="67E84812"/>
    <w:rsid w:val="67EBC647"/>
    <w:rsid w:val="67F50340"/>
    <w:rsid w:val="67FE7058"/>
    <w:rsid w:val="6800A066"/>
    <w:rsid w:val="6801C6AD"/>
    <w:rsid w:val="680D85CC"/>
    <w:rsid w:val="68133C89"/>
    <w:rsid w:val="68156FEE"/>
    <w:rsid w:val="681C7FBD"/>
    <w:rsid w:val="68238186"/>
    <w:rsid w:val="6824643A"/>
    <w:rsid w:val="682921AA"/>
    <w:rsid w:val="68297CD8"/>
    <w:rsid w:val="682B429E"/>
    <w:rsid w:val="68367DF9"/>
    <w:rsid w:val="684008F7"/>
    <w:rsid w:val="68471619"/>
    <w:rsid w:val="684AF79C"/>
    <w:rsid w:val="684FBD6A"/>
    <w:rsid w:val="68528661"/>
    <w:rsid w:val="68552E8E"/>
    <w:rsid w:val="6856ABB6"/>
    <w:rsid w:val="6859DB6B"/>
    <w:rsid w:val="6864CF30"/>
    <w:rsid w:val="68652F37"/>
    <w:rsid w:val="6865F4D0"/>
    <w:rsid w:val="687230C1"/>
    <w:rsid w:val="6877F51D"/>
    <w:rsid w:val="687A1B71"/>
    <w:rsid w:val="6881185C"/>
    <w:rsid w:val="6881686B"/>
    <w:rsid w:val="688560AF"/>
    <w:rsid w:val="6887C415"/>
    <w:rsid w:val="6888C114"/>
    <w:rsid w:val="688EF373"/>
    <w:rsid w:val="688F93EE"/>
    <w:rsid w:val="68901745"/>
    <w:rsid w:val="68917DB1"/>
    <w:rsid w:val="6892F9EC"/>
    <w:rsid w:val="68A2848E"/>
    <w:rsid w:val="68C6EC21"/>
    <w:rsid w:val="68CADB5A"/>
    <w:rsid w:val="68CD389B"/>
    <w:rsid w:val="68CE5C68"/>
    <w:rsid w:val="68D36CB0"/>
    <w:rsid w:val="68D6FEFE"/>
    <w:rsid w:val="68DA7184"/>
    <w:rsid w:val="68DBE548"/>
    <w:rsid w:val="68DFE978"/>
    <w:rsid w:val="68E4E046"/>
    <w:rsid w:val="68E80730"/>
    <w:rsid w:val="68E8D036"/>
    <w:rsid w:val="68EB95FC"/>
    <w:rsid w:val="68ECDA5E"/>
    <w:rsid w:val="68F3FD73"/>
    <w:rsid w:val="68F5C10B"/>
    <w:rsid w:val="690187A9"/>
    <w:rsid w:val="69085A07"/>
    <w:rsid w:val="690A4F53"/>
    <w:rsid w:val="69128A91"/>
    <w:rsid w:val="6914FECE"/>
    <w:rsid w:val="69152FEB"/>
    <w:rsid w:val="69163091"/>
    <w:rsid w:val="691E4087"/>
    <w:rsid w:val="69239B5F"/>
    <w:rsid w:val="6923AC44"/>
    <w:rsid w:val="692469C9"/>
    <w:rsid w:val="69284473"/>
    <w:rsid w:val="6929682A"/>
    <w:rsid w:val="692A5744"/>
    <w:rsid w:val="692C478E"/>
    <w:rsid w:val="693011F9"/>
    <w:rsid w:val="693604FC"/>
    <w:rsid w:val="6939BA74"/>
    <w:rsid w:val="693CCF90"/>
    <w:rsid w:val="694466F1"/>
    <w:rsid w:val="69540FD9"/>
    <w:rsid w:val="69577399"/>
    <w:rsid w:val="695BF6CB"/>
    <w:rsid w:val="69636D7A"/>
    <w:rsid w:val="69665308"/>
    <w:rsid w:val="697FB31A"/>
    <w:rsid w:val="6980B5F0"/>
    <w:rsid w:val="698128BF"/>
    <w:rsid w:val="699150A8"/>
    <w:rsid w:val="6994621C"/>
    <w:rsid w:val="6995BF79"/>
    <w:rsid w:val="69971B9A"/>
    <w:rsid w:val="699890D1"/>
    <w:rsid w:val="699A1A0C"/>
    <w:rsid w:val="699F1EDF"/>
    <w:rsid w:val="69AE1F93"/>
    <w:rsid w:val="69B61F1E"/>
    <w:rsid w:val="69B9DEF3"/>
    <w:rsid w:val="69C07BD4"/>
    <w:rsid w:val="69C23A7F"/>
    <w:rsid w:val="69C4D450"/>
    <w:rsid w:val="69C501DE"/>
    <w:rsid w:val="69D0542E"/>
    <w:rsid w:val="69D0B9C5"/>
    <w:rsid w:val="69D79CAB"/>
    <w:rsid w:val="69DD096E"/>
    <w:rsid w:val="69E1FA60"/>
    <w:rsid w:val="69E611E9"/>
    <w:rsid w:val="69E90514"/>
    <w:rsid w:val="69EADCF4"/>
    <w:rsid w:val="69F06172"/>
    <w:rsid w:val="69F1FEB5"/>
    <w:rsid w:val="69F7FB61"/>
    <w:rsid w:val="69FBECFC"/>
    <w:rsid w:val="69FD9331"/>
    <w:rsid w:val="6A0EBD77"/>
    <w:rsid w:val="6A107122"/>
    <w:rsid w:val="6A12FA4B"/>
    <w:rsid w:val="6A20A4D0"/>
    <w:rsid w:val="6A2616FF"/>
    <w:rsid w:val="6A28580A"/>
    <w:rsid w:val="6A2BD0B0"/>
    <w:rsid w:val="6A2EE1D2"/>
    <w:rsid w:val="6A327601"/>
    <w:rsid w:val="6A36FE6F"/>
    <w:rsid w:val="6A3CBAD2"/>
    <w:rsid w:val="6A3D1887"/>
    <w:rsid w:val="6A3DE1F1"/>
    <w:rsid w:val="6A4528B7"/>
    <w:rsid w:val="6A4CF630"/>
    <w:rsid w:val="6A532F2D"/>
    <w:rsid w:val="6A5DA0B6"/>
    <w:rsid w:val="6A66B7EC"/>
    <w:rsid w:val="6A692FA3"/>
    <w:rsid w:val="6A6A43A3"/>
    <w:rsid w:val="6A75614F"/>
    <w:rsid w:val="6A7AE353"/>
    <w:rsid w:val="6A850301"/>
    <w:rsid w:val="6A8517D5"/>
    <w:rsid w:val="6A8646A9"/>
    <w:rsid w:val="6A89749B"/>
    <w:rsid w:val="6A8D4FEA"/>
    <w:rsid w:val="6A991531"/>
    <w:rsid w:val="6A99577B"/>
    <w:rsid w:val="6AA09C15"/>
    <w:rsid w:val="6AAAFB58"/>
    <w:rsid w:val="6AACFE71"/>
    <w:rsid w:val="6AB14DA2"/>
    <w:rsid w:val="6AB162CF"/>
    <w:rsid w:val="6AB4E7BE"/>
    <w:rsid w:val="6AB55AE1"/>
    <w:rsid w:val="6AB9B58F"/>
    <w:rsid w:val="6ABB2CE5"/>
    <w:rsid w:val="6ABB4C0A"/>
    <w:rsid w:val="6ABC5254"/>
    <w:rsid w:val="6AC573E6"/>
    <w:rsid w:val="6AD12E41"/>
    <w:rsid w:val="6AD478DB"/>
    <w:rsid w:val="6AD9A8C8"/>
    <w:rsid w:val="6ADA9359"/>
    <w:rsid w:val="6ADE922E"/>
    <w:rsid w:val="6AE15040"/>
    <w:rsid w:val="6AEA7DF5"/>
    <w:rsid w:val="6AEB9AEA"/>
    <w:rsid w:val="6AF36C8D"/>
    <w:rsid w:val="6AF49238"/>
    <w:rsid w:val="6AF80974"/>
    <w:rsid w:val="6AFA7E8D"/>
    <w:rsid w:val="6AFF8B98"/>
    <w:rsid w:val="6B057E41"/>
    <w:rsid w:val="6B0C902F"/>
    <w:rsid w:val="6B143179"/>
    <w:rsid w:val="6B1A2079"/>
    <w:rsid w:val="6B1F5C45"/>
    <w:rsid w:val="6B20A806"/>
    <w:rsid w:val="6B271E91"/>
    <w:rsid w:val="6B2D4DDA"/>
    <w:rsid w:val="6B336D1C"/>
    <w:rsid w:val="6B44C332"/>
    <w:rsid w:val="6B5A12CC"/>
    <w:rsid w:val="6B61EBE0"/>
    <w:rsid w:val="6B649BB7"/>
    <w:rsid w:val="6B689B91"/>
    <w:rsid w:val="6B6CC2D4"/>
    <w:rsid w:val="6B6E167D"/>
    <w:rsid w:val="6B6FA247"/>
    <w:rsid w:val="6B709754"/>
    <w:rsid w:val="6B709B38"/>
    <w:rsid w:val="6B85A512"/>
    <w:rsid w:val="6B85C21F"/>
    <w:rsid w:val="6B8B287B"/>
    <w:rsid w:val="6B907997"/>
    <w:rsid w:val="6B90BDB3"/>
    <w:rsid w:val="6B91C488"/>
    <w:rsid w:val="6B99F0BA"/>
    <w:rsid w:val="6B9D5172"/>
    <w:rsid w:val="6B9DDB32"/>
    <w:rsid w:val="6BA1B8D9"/>
    <w:rsid w:val="6BA3D159"/>
    <w:rsid w:val="6BA76C33"/>
    <w:rsid w:val="6BAB78FA"/>
    <w:rsid w:val="6BB1914C"/>
    <w:rsid w:val="6BB934FA"/>
    <w:rsid w:val="6BC07ACE"/>
    <w:rsid w:val="6BC0A8E7"/>
    <w:rsid w:val="6BC332C3"/>
    <w:rsid w:val="6BC52CE6"/>
    <w:rsid w:val="6BD572F0"/>
    <w:rsid w:val="6BD6D53B"/>
    <w:rsid w:val="6BDEE5DE"/>
    <w:rsid w:val="6BE2A96B"/>
    <w:rsid w:val="6BE8B0FC"/>
    <w:rsid w:val="6BF69867"/>
    <w:rsid w:val="6BFCEB2D"/>
    <w:rsid w:val="6C00C31A"/>
    <w:rsid w:val="6C0DFD47"/>
    <w:rsid w:val="6C130A70"/>
    <w:rsid w:val="6C151320"/>
    <w:rsid w:val="6C16221F"/>
    <w:rsid w:val="6C19AE1F"/>
    <w:rsid w:val="6C1B0D26"/>
    <w:rsid w:val="6C1B0D43"/>
    <w:rsid w:val="6C1F689C"/>
    <w:rsid w:val="6C214DEB"/>
    <w:rsid w:val="6C227C7F"/>
    <w:rsid w:val="6C28F141"/>
    <w:rsid w:val="6C29FCD7"/>
    <w:rsid w:val="6C2E7DA6"/>
    <w:rsid w:val="6C33C83C"/>
    <w:rsid w:val="6C33D59B"/>
    <w:rsid w:val="6C346FFB"/>
    <w:rsid w:val="6C37ACCD"/>
    <w:rsid w:val="6C3BDC52"/>
    <w:rsid w:val="6C4490DC"/>
    <w:rsid w:val="6C457C3F"/>
    <w:rsid w:val="6C4DA0AF"/>
    <w:rsid w:val="6C51D388"/>
    <w:rsid w:val="6C570676"/>
    <w:rsid w:val="6C63AA26"/>
    <w:rsid w:val="6C63D6E1"/>
    <w:rsid w:val="6C65F28F"/>
    <w:rsid w:val="6C68B93F"/>
    <w:rsid w:val="6C7A40F0"/>
    <w:rsid w:val="6C7C7F6A"/>
    <w:rsid w:val="6C7E5C98"/>
    <w:rsid w:val="6C7FC842"/>
    <w:rsid w:val="6C8A02B1"/>
    <w:rsid w:val="6C8A9FE4"/>
    <w:rsid w:val="6C8D4B3D"/>
    <w:rsid w:val="6C8ED56C"/>
    <w:rsid w:val="6C903D29"/>
    <w:rsid w:val="6C951DB9"/>
    <w:rsid w:val="6C9C03BC"/>
    <w:rsid w:val="6C9C52BB"/>
    <w:rsid w:val="6CA5B215"/>
    <w:rsid w:val="6CA7D13D"/>
    <w:rsid w:val="6CA875FB"/>
    <w:rsid w:val="6CB592FC"/>
    <w:rsid w:val="6CB627AF"/>
    <w:rsid w:val="6CBAE0D9"/>
    <w:rsid w:val="6CBB2D88"/>
    <w:rsid w:val="6CBC5E69"/>
    <w:rsid w:val="6CBD4648"/>
    <w:rsid w:val="6CC29CF1"/>
    <w:rsid w:val="6CC5494E"/>
    <w:rsid w:val="6CD64410"/>
    <w:rsid w:val="6CD8FFE5"/>
    <w:rsid w:val="6CDE05AE"/>
    <w:rsid w:val="6CE4657F"/>
    <w:rsid w:val="6CF3F236"/>
    <w:rsid w:val="6CFB8C37"/>
    <w:rsid w:val="6D003F76"/>
    <w:rsid w:val="6D041D4D"/>
    <w:rsid w:val="6D0B7C11"/>
    <w:rsid w:val="6D1036BC"/>
    <w:rsid w:val="6D106E6E"/>
    <w:rsid w:val="6D136E3C"/>
    <w:rsid w:val="6D179B3C"/>
    <w:rsid w:val="6D17CC84"/>
    <w:rsid w:val="6D1F3546"/>
    <w:rsid w:val="6D20A9A5"/>
    <w:rsid w:val="6D20C1D8"/>
    <w:rsid w:val="6D33D216"/>
    <w:rsid w:val="6D3B6154"/>
    <w:rsid w:val="6D4C673E"/>
    <w:rsid w:val="6D4CE7EF"/>
    <w:rsid w:val="6D4E8FC0"/>
    <w:rsid w:val="6D4EE943"/>
    <w:rsid w:val="6D507038"/>
    <w:rsid w:val="6D5389A8"/>
    <w:rsid w:val="6D58C3CB"/>
    <w:rsid w:val="6D5EF8FC"/>
    <w:rsid w:val="6D610273"/>
    <w:rsid w:val="6D67B7A4"/>
    <w:rsid w:val="6D71095C"/>
    <w:rsid w:val="6D710E0F"/>
    <w:rsid w:val="6D764868"/>
    <w:rsid w:val="6D7A1DAC"/>
    <w:rsid w:val="6D892BBF"/>
    <w:rsid w:val="6D9E52A6"/>
    <w:rsid w:val="6DA705CC"/>
    <w:rsid w:val="6DA7BA44"/>
    <w:rsid w:val="6DADEDA9"/>
    <w:rsid w:val="6DB688B4"/>
    <w:rsid w:val="6DB78337"/>
    <w:rsid w:val="6DB8A4CC"/>
    <w:rsid w:val="6DBC040F"/>
    <w:rsid w:val="6DBC0C55"/>
    <w:rsid w:val="6DBEA1AE"/>
    <w:rsid w:val="6DC27EF9"/>
    <w:rsid w:val="6DC6C0B4"/>
    <w:rsid w:val="6DCA0E39"/>
    <w:rsid w:val="6DCF4782"/>
    <w:rsid w:val="6DD10D8B"/>
    <w:rsid w:val="6DD1D2F8"/>
    <w:rsid w:val="6DD51712"/>
    <w:rsid w:val="6DD5D077"/>
    <w:rsid w:val="6DDA2A5E"/>
    <w:rsid w:val="6DDC0377"/>
    <w:rsid w:val="6DDEC3CA"/>
    <w:rsid w:val="6DE39B2F"/>
    <w:rsid w:val="6DE968A5"/>
    <w:rsid w:val="6DF13EA2"/>
    <w:rsid w:val="6DF29470"/>
    <w:rsid w:val="6DF35025"/>
    <w:rsid w:val="6DFAD75F"/>
    <w:rsid w:val="6DFB4482"/>
    <w:rsid w:val="6E0B9A84"/>
    <w:rsid w:val="6E12972A"/>
    <w:rsid w:val="6E147A5F"/>
    <w:rsid w:val="6E1E94C0"/>
    <w:rsid w:val="6E2312A2"/>
    <w:rsid w:val="6E2DCB6D"/>
    <w:rsid w:val="6E2EB099"/>
    <w:rsid w:val="6E30003F"/>
    <w:rsid w:val="6E353048"/>
    <w:rsid w:val="6E3C9858"/>
    <w:rsid w:val="6E3CBCDA"/>
    <w:rsid w:val="6E3D0B39"/>
    <w:rsid w:val="6E3E7E9E"/>
    <w:rsid w:val="6E46ABB0"/>
    <w:rsid w:val="6E48CDDC"/>
    <w:rsid w:val="6E4ED7DD"/>
    <w:rsid w:val="6E52DAC9"/>
    <w:rsid w:val="6E53258F"/>
    <w:rsid w:val="6E595717"/>
    <w:rsid w:val="6E5F3CF2"/>
    <w:rsid w:val="6E6124F0"/>
    <w:rsid w:val="6E634745"/>
    <w:rsid w:val="6E65219A"/>
    <w:rsid w:val="6E75C366"/>
    <w:rsid w:val="6E7647B6"/>
    <w:rsid w:val="6E81AAD1"/>
    <w:rsid w:val="6E869D71"/>
    <w:rsid w:val="6E950B78"/>
    <w:rsid w:val="6E95CB73"/>
    <w:rsid w:val="6EA2FBE2"/>
    <w:rsid w:val="6EA35158"/>
    <w:rsid w:val="6EA665EB"/>
    <w:rsid w:val="6EA7A935"/>
    <w:rsid w:val="6EAE426F"/>
    <w:rsid w:val="6EAF3CF7"/>
    <w:rsid w:val="6EB1CD37"/>
    <w:rsid w:val="6EB2DA50"/>
    <w:rsid w:val="6EBF426B"/>
    <w:rsid w:val="6EC7AC10"/>
    <w:rsid w:val="6ECA0488"/>
    <w:rsid w:val="6ED5630A"/>
    <w:rsid w:val="6ED80A69"/>
    <w:rsid w:val="6EDC7DEA"/>
    <w:rsid w:val="6EDE4871"/>
    <w:rsid w:val="6EE1D480"/>
    <w:rsid w:val="6EE24EAC"/>
    <w:rsid w:val="6EE4F9EF"/>
    <w:rsid w:val="6EF75AAE"/>
    <w:rsid w:val="6EF9A42A"/>
    <w:rsid w:val="6EFA8911"/>
    <w:rsid w:val="6EFD33BE"/>
    <w:rsid w:val="6EFF1DAB"/>
    <w:rsid w:val="6F0479DF"/>
    <w:rsid w:val="6F059349"/>
    <w:rsid w:val="6F0757E7"/>
    <w:rsid w:val="6F0B8BBE"/>
    <w:rsid w:val="6F10B4FA"/>
    <w:rsid w:val="6F1600C9"/>
    <w:rsid w:val="6F172495"/>
    <w:rsid w:val="6F179274"/>
    <w:rsid w:val="6F180A0E"/>
    <w:rsid w:val="6F34278B"/>
    <w:rsid w:val="6F3E36BB"/>
    <w:rsid w:val="6F443FA1"/>
    <w:rsid w:val="6F453D8E"/>
    <w:rsid w:val="6F48198B"/>
    <w:rsid w:val="6F4B9EBC"/>
    <w:rsid w:val="6F4CAB6B"/>
    <w:rsid w:val="6F574F1B"/>
    <w:rsid w:val="6F5A3F6B"/>
    <w:rsid w:val="6F5D2EB4"/>
    <w:rsid w:val="6F61CFBA"/>
    <w:rsid w:val="6F625D90"/>
    <w:rsid w:val="6F64A2C8"/>
    <w:rsid w:val="6F6BCF02"/>
    <w:rsid w:val="6F70F415"/>
    <w:rsid w:val="6F733359"/>
    <w:rsid w:val="6F7908D4"/>
    <w:rsid w:val="6F7AB627"/>
    <w:rsid w:val="6F7ABB45"/>
    <w:rsid w:val="6F86F631"/>
    <w:rsid w:val="6F8F5AC1"/>
    <w:rsid w:val="6F90E6E4"/>
    <w:rsid w:val="6F92D701"/>
    <w:rsid w:val="6F940971"/>
    <w:rsid w:val="6F953CB9"/>
    <w:rsid w:val="6F99680C"/>
    <w:rsid w:val="6F99FA69"/>
    <w:rsid w:val="6F9B666E"/>
    <w:rsid w:val="6F9C979A"/>
    <w:rsid w:val="6F9DA10C"/>
    <w:rsid w:val="6FA61AA5"/>
    <w:rsid w:val="6FA95AB5"/>
    <w:rsid w:val="6FAADDF9"/>
    <w:rsid w:val="6FAF8EF3"/>
    <w:rsid w:val="6FB04D66"/>
    <w:rsid w:val="6FBA37B2"/>
    <w:rsid w:val="6FBC76DF"/>
    <w:rsid w:val="6FC27E14"/>
    <w:rsid w:val="6FC6D036"/>
    <w:rsid w:val="6FC859D6"/>
    <w:rsid w:val="6FD56849"/>
    <w:rsid w:val="6FE1630A"/>
    <w:rsid w:val="6FE16A72"/>
    <w:rsid w:val="6FE65F46"/>
    <w:rsid w:val="6FE7C67D"/>
    <w:rsid w:val="6FF6F051"/>
    <w:rsid w:val="6FFD78CB"/>
    <w:rsid w:val="700590AD"/>
    <w:rsid w:val="7008A962"/>
    <w:rsid w:val="701ADB4F"/>
    <w:rsid w:val="701DB2E0"/>
    <w:rsid w:val="70207279"/>
    <w:rsid w:val="7020A031"/>
    <w:rsid w:val="702161C7"/>
    <w:rsid w:val="7024BC57"/>
    <w:rsid w:val="7027123B"/>
    <w:rsid w:val="7029C685"/>
    <w:rsid w:val="702B54E6"/>
    <w:rsid w:val="702B771A"/>
    <w:rsid w:val="7033CEA6"/>
    <w:rsid w:val="7038CB6B"/>
    <w:rsid w:val="7043A847"/>
    <w:rsid w:val="704CA2EB"/>
    <w:rsid w:val="705518AB"/>
    <w:rsid w:val="705A16E1"/>
    <w:rsid w:val="70633DEE"/>
    <w:rsid w:val="70649931"/>
    <w:rsid w:val="70652A0C"/>
    <w:rsid w:val="7066365A"/>
    <w:rsid w:val="706A8F28"/>
    <w:rsid w:val="706A9F92"/>
    <w:rsid w:val="706D0E41"/>
    <w:rsid w:val="706D543F"/>
    <w:rsid w:val="70722080"/>
    <w:rsid w:val="707A7BA9"/>
    <w:rsid w:val="707C3505"/>
    <w:rsid w:val="7097813F"/>
    <w:rsid w:val="709850C4"/>
    <w:rsid w:val="709A40EA"/>
    <w:rsid w:val="709A991A"/>
    <w:rsid w:val="709C36F8"/>
    <w:rsid w:val="709E5963"/>
    <w:rsid w:val="70ABB067"/>
    <w:rsid w:val="70B049D2"/>
    <w:rsid w:val="70B1568C"/>
    <w:rsid w:val="70B9DAF1"/>
    <w:rsid w:val="70C49F6B"/>
    <w:rsid w:val="70C68B06"/>
    <w:rsid w:val="70C808F5"/>
    <w:rsid w:val="70CB1467"/>
    <w:rsid w:val="70CBF6EB"/>
    <w:rsid w:val="70D5B99B"/>
    <w:rsid w:val="70D91D6B"/>
    <w:rsid w:val="70D9ECE9"/>
    <w:rsid w:val="70DAB35E"/>
    <w:rsid w:val="70EA1F4A"/>
    <w:rsid w:val="70F6DBE4"/>
    <w:rsid w:val="7106BB7E"/>
    <w:rsid w:val="711B1982"/>
    <w:rsid w:val="711EAEFD"/>
    <w:rsid w:val="711F8C37"/>
    <w:rsid w:val="71251EB0"/>
    <w:rsid w:val="712AAF92"/>
    <w:rsid w:val="7133D71C"/>
    <w:rsid w:val="7135BA87"/>
    <w:rsid w:val="7135D5A9"/>
    <w:rsid w:val="71431770"/>
    <w:rsid w:val="71435C94"/>
    <w:rsid w:val="71450DB6"/>
    <w:rsid w:val="7145F85F"/>
    <w:rsid w:val="714B3821"/>
    <w:rsid w:val="714BF884"/>
    <w:rsid w:val="71529A8E"/>
    <w:rsid w:val="7152CFA0"/>
    <w:rsid w:val="7157D2E6"/>
    <w:rsid w:val="715ADDD8"/>
    <w:rsid w:val="7165C656"/>
    <w:rsid w:val="716C6884"/>
    <w:rsid w:val="71786CE0"/>
    <w:rsid w:val="717BA8B1"/>
    <w:rsid w:val="717D6275"/>
    <w:rsid w:val="718627E7"/>
    <w:rsid w:val="7186EA03"/>
    <w:rsid w:val="7187E77F"/>
    <w:rsid w:val="718EB082"/>
    <w:rsid w:val="7190D6F6"/>
    <w:rsid w:val="71978C0C"/>
    <w:rsid w:val="719BE9D2"/>
    <w:rsid w:val="719CB608"/>
    <w:rsid w:val="71A25ADF"/>
    <w:rsid w:val="71A495BD"/>
    <w:rsid w:val="71A6DC31"/>
    <w:rsid w:val="71A9CFCD"/>
    <w:rsid w:val="71B002A1"/>
    <w:rsid w:val="71B0588E"/>
    <w:rsid w:val="71B2468C"/>
    <w:rsid w:val="71B3BA4B"/>
    <w:rsid w:val="71C0CD74"/>
    <w:rsid w:val="71C98B79"/>
    <w:rsid w:val="71CEB4B6"/>
    <w:rsid w:val="71CED47C"/>
    <w:rsid w:val="71D1B60C"/>
    <w:rsid w:val="71D67C17"/>
    <w:rsid w:val="71D6A0C4"/>
    <w:rsid w:val="71DA86E3"/>
    <w:rsid w:val="71E35761"/>
    <w:rsid w:val="71EB8E7B"/>
    <w:rsid w:val="71EC9E87"/>
    <w:rsid w:val="71EE79E1"/>
    <w:rsid w:val="71EF2EC7"/>
    <w:rsid w:val="720113EB"/>
    <w:rsid w:val="7203CB2C"/>
    <w:rsid w:val="7207C3EF"/>
    <w:rsid w:val="72108880"/>
    <w:rsid w:val="72190CA4"/>
    <w:rsid w:val="721A5D1B"/>
    <w:rsid w:val="72210751"/>
    <w:rsid w:val="722136C4"/>
    <w:rsid w:val="72243B86"/>
    <w:rsid w:val="7225DAE1"/>
    <w:rsid w:val="7227C75E"/>
    <w:rsid w:val="7229746C"/>
    <w:rsid w:val="722CE2B4"/>
    <w:rsid w:val="7230C54B"/>
    <w:rsid w:val="72315A5C"/>
    <w:rsid w:val="7232A163"/>
    <w:rsid w:val="723B5C54"/>
    <w:rsid w:val="723C2AF6"/>
    <w:rsid w:val="723D9A2D"/>
    <w:rsid w:val="724D5226"/>
    <w:rsid w:val="72522CD5"/>
    <w:rsid w:val="72532FAA"/>
    <w:rsid w:val="72540DD8"/>
    <w:rsid w:val="725A613E"/>
    <w:rsid w:val="725F939C"/>
    <w:rsid w:val="7266BAA4"/>
    <w:rsid w:val="7267CA8D"/>
    <w:rsid w:val="726826AE"/>
    <w:rsid w:val="72688D0D"/>
    <w:rsid w:val="7268C852"/>
    <w:rsid w:val="726C4B33"/>
    <w:rsid w:val="726EE1A5"/>
    <w:rsid w:val="727099B9"/>
    <w:rsid w:val="7274DD28"/>
    <w:rsid w:val="7275504C"/>
    <w:rsid w:val="727C7776"/>
    <w:rsid w:val="727D4E58"/>
    <w:rsid w:val="72843B49"/>
    <w:rsid w:val="72845113"/>
    <w:rsid w:val="728503AC"/>
    <w:rsid w:val="728897A4"/>
    <w:rsid w:val="72938667"/>
    <w:rsid w:val="7293A57C"/>
    <w:rsid w:val="729425B7"/>
    <w:rsid w:val="7295F4FD"/>
    <w:rsid w:val="729B551E"/>
    <w:rsid w:val="72AA202C"/>
    <w:rsid w:val="72AA67E8"/>
    <w:rsid w:val="72AC1390"/>
    <w:rsid w:val="72B2B949"/>
    <w:rsid w:val="72B87911"/>
    <w:rsid w:val="72BE1316"/>
    <w:rsid w:val="72C18782"/>
    <w:rsid w:val="72C39891"/>
    <w:rsid w:val="72C7495F"/>
    <w:rsid w:val="72CA46C4"/>
    <w:rsid w:val="72CA593D"/>
    <w:rsid w:val="72CAADB4"/>
    <w:rsid w:val="72D62176"/>
    <w:rsid w:val="72E27530"/>
    <w:rsid w:val="72EA8354"/>
    <w:rsid w:val="72ED0747"/>
    <w:rsid w:val="72F56DA8"/>
    <w:rsid w:val="72F89FC2"/>
    <w:rsid w:val="72F98631"/>
    <w:rsid w:val="72FC1EBD"/>
    <w:rsid w:val="730050DE"/>
    <w:rsid w:val="7304A43B"/>
    <w:rsid w:val="7306DDF6"/>
    <w:rsid w:val="7312237B"/>
    <w:rsid w:val="7316A102"/>
    <w:rsid w:val="73185EDD"/>
    <w:rsid w:val="731FB322"/>
    <w:rsid w:val="73260DBC"/>
    <w:rsid w:val="73263907"/>
    <w:rsid w:val="7326B7F9"/>
    <w:rsid w:val="7329B998"/>
    <w:rsid w:val="732A5725"/>
    <w:rsid w:val="7335799E"/>
    <w:rsid w:val="733B3CD6"/>
    <w:rsid w:val="733DEFF3"/>
    <w:rsid w:val="733EE595"/>
    <w:rsid w:val="734080B6"/>
    <w:rsid w:val="73459F60"/>
    <w:rsid w:val="73593032"/>
    <w:rsid w:val="735C987A"/>
    <w:rsid w:val="73722466"/>
    <w:rsid w:val="737DA650"/>
    <w:rsid w:val="73880AED"/>
    <w:rsid w:val="738EF8A8"/>
    <w:rsid w:val="7392A4DF"/>
    <w:rsid w:val="7395675D"/>
    <w:rsid w:val="739AC2AE"/>
    <w:rsid w:val="73A0DDC1"/>
    <w:rsid w:val="73A3EB52"/>
    <w:rsid w:val="73A6D1E8"/>
    <w:rsid w:val="73A6F8FF"/>
    <w:rsid w:val="73AB9914"/>
    <w:rsid w:val="73BA4335"/>
    <w:rsid w:val="73BBCA18"/>
    <w:rsid w:val="73BE5CDB"/>
    <w:rsid w:val="73C5D345"/>
    <w:rsid w:val="73CA58F5"/>
    <w:rsid w:val="73CEADE3"/>
    <w:rsid w:val="73CF0FDF"/>
    <w:rsid w:val="73D6B9F4"/>
    <w:rsid w:val="73D86643"/>
    <w:rsid w:val="73D9541C"/>
    <w:rsid w:val="73DBA45D"/>
    <w:rsid w:val="73E467CC"/>
    <w:rsid w:val="73E5D719"/>
    <w:rsid w:val="73E715AF"/>
    <w:rsid w:val="73E7CEE8"/>
    <w:rsid w:val="73EEA5FA"/>
    <w:rsid w:val="73F44FA1"/>
    <w:rsid w:val="73F5CF02"/>
    <w:rsid w:val="73F94912"/>
    <w:rsid w:val="73FC3074"/>
    <w:rsid w:val="73FCC496"/>
    <w:rsid w:val="74004876"/>
    <w:rsid w:val="7404EF1F"/>
    <w:rsid w:val="740BD49C"/>
    <w:rsid w:val="7417E71A"/>
    <w:rsid w:val="742915B1"/>
    <w:rsid w:val="7429F5B6"/>
    <w:rsid w:val="742AC785"/>
    <w:rsid w:val="742B638D"/>
    <w:rsid w:val="742FC5F4"/>
    <w:rsid w:val="7430B254"/>
    <w:rsid w:val="743148BF"/>
    <w:rsid w:val="7438BD54"/>
    <w:rsid w:val="743EF4AD"/>
    <w:rsid w:val="743F2AD5"/>
    <w:rsid w:val="74403BFF"/>
    <w:rsid w:val="7443D9F8"/>
    <w:rsid w:val="74495159"/>
    <w:rsid w:val="744B313E"/>
    <w:rsid w:val="744F36B3"/>
    <w:rsid w:val="74585A7A"/>
    <w:rsid w:val="745B0CF5"/>
    <w:rsid w:val="746425EA"/>
    <w:rsid w:val="74695DCE"/>
    <w:rsid w:val="746B02B2"/>
    <w:rsid w:val="7470405A"/>
    <w:rsid w:val="74704250"/>
    <w:rsid w:val="7476D9A1"/>
    <w:rsid w:val="7478DC3A"/>
    <w:rsid w:val="747B3A12"/>
    <w:rsid w:val="747F7D79"/>
    <w:rsid w:val="7480F9C6"/>
    <w:rsid w:val="7484F1D7"/>
    <w:rsid w:val="74893078"/>
    <w:rsid w:val="748B2EDA"/>
    <w:rsid w:val="7492A8EA"/>
    <w:rsid w:val="74A5654A"/>
    <w:rsid w:val="74AA062D"/>
    <w:rsid w:val="74AE15A3"/>
    <w:rsid w:val="74B0BAE2"/>
    <w:rsid w:val="74B0E600"/>
    <w:rsid w:val="74B33765"/>
    <w:rsid w:val="74B7EF3A"/>
    <w:rsid w:val="74C1B034"/>
    <w:rsid w:val="74C3DEEA"/>
    <w:rsid w:val="74C4D7AE"/>
    <w:rsid w:val="74D030F1"/>
    <w:rsid w:val="74D2925B"/>
    <w:rsid w:val="74D43D7C"/>
    <w:rsid w:val="74D566A8"/>
    <w:rsid w:val="74D6B6C1"/>
    <w:rsid w:val="74D7424F"/>
    <w:rsid w:val="74E0005B"/>
    <w:rsid w:val="74E06D38"/>
    <w:rsid w:val="74E370E6"/>
    <w:rsid w:val="74E609C6"/>
    <w:rsid w:val="74E98666"/>
    <w:rsid w:val="74FA6793"/>
    <w:rsid w:val="75066D6C"/>
    <w:rsid w:val="75292A45"/>
    <w:rsid w:val="7529FA82"/>
    <w:rsid w:val="752BB662"/>
    <w:rsid w:val="752EA060"/>
    <w:rsid w:val="75306DCE"/>
    <w:rsid w:val="75312047"/>
    <w:rsid w:val="7532D326"/>
    <w:rsid w:val="7538DBBC"/>
    <w:rsid w:val="75395575"/>
    <w:rsid w:val="7544ABC1"/>
    <w:rsid w:val="7556E16F"/>
    <w:rsid w:val="755CF47A"/>
    <w:rsid w:val="7563C65F"/>
    <w:rsid w:val="75736776"/>
    <w:rsid w:val="75787285"/>
    <w:rsid w:val="7579AE49"/>
    <w:rsid w:val="7579FADD"/>
    <w:rsid w:val="758A0D4F"/>
    <w:rsid w:val="758D3A07"/>
    <w:rsid w:val="759163B1"/>
    <w:rsid w:val="7595F905"/>
    <w:rsid w:val="759AE43D"/>
    <w:rsid w:val="759F55C6"/>
    <w:rsid w:val="75A170B7"/>
    <w:rsid w:val="75A66A3C"/>
    <w:rsid w:val="75A670D4"/>
    <w:rsid w:val="75A877D8"/>
    <w:rsid w:val="75ACD9AB"/>
    <w:rsid w:val="75AE9F2A"/>
    <w:rsid w:val="75AFA669"/>
    <w:rsid w:val="75B19940"/>
    <w:rsid w:val="75B9A834"/>
    <w:rsid w:val="75BCE01F"/>
    <w:rsid w:val="75CB2AED"/>
    <w:rsid w:val="75CB689C"/>
    <w:rsid w:val="75D61D0C"/>
    <w:rsid w:val="75D7E75D"/>
    <w:rsid w:val="75DA0863"/>
    <w:rsid w:val="75DD5C11"/>
    <w:rsid w:val="75DE2EDC"/>
    <w:rsid w:val="75DE46D7"/>
    <w:rsid w:val="75E0B019"/>
    <w:rsid w:val="75E0C3A1"/>
    <w:rsid w:val="75E9EA1C"/>
    <w:rsid w:val="75EC251E"/>
    <w:rsid w:val="75EF8E1B"/>
    <w:rsid w:val="75FAA7F1"/>
    <w:rsid w:val="7603BA8F"/>
    <w:rsid w:val="760BC19F"/>
    <w:rsid w:val="760EEEF6"/>
    <w:rsid w:val="7610DC0F"/>
    <w:rsid w:val="76176949"/>
    <w:rsid w:val="761793C4"/>
    <w:rsid w:val="761C973C"/>
    <w:rsid w:val="761D0FB7"/>
    <w:rsid w:val="7621FCB9"/>
    <w:rsid w:val="76233FFB"/>
    <w:rsid w:val="7640CE4C"/>
    <w:rsid w:val="764EE655"/>
    <w:rsid w:val="764F76BE"/>
    <w:rsid w:val="764F8CE0"/>
    <w:rsid w:val="76504698"/>
    <w:rsid w:val="76510A1A"/>
    <w:rsid w:val="76516829"/>
    <w:rsid w:val="76562E12"/>
    <w:rsid w:val="765D491F"/>
    <w:rsid w:val="766284C5"/>
    <w:rsid w:val="7662E5E9"/>
    <w:rsid w:val="7663D51F"/>
    <w:rsid w:val="76666633"/>
    <w:rsid w:val="767466BB"/>
    <w:rsid w:val="767A9474"/>
    <w:rsid w:val="767B7D1F"/>
    <w:rsid w:val="767EED68"/>
    <w:rsid w:val="767FD0AA"/>
    <w:rsid w:val="76802713"/>
    <w:rsid w:val="7683D90E"/>
    <w:rsid w:val="7690981E"/>
    <w:rsid w:val="769E6709"/>
    <w:rsid w:val="76A5F19B"/>
    <w:rsid w:val="76AA94C0"/>
    <w:rsid w:val="76AF61F1"/>
    <w:rsid w:val="76B43A08"/>
    <w:rsid w:val="76B84038"/>
    <w:rsid w:val="76C04613"/>
    <w:rsid w:val="76C20537"/>
    <w:rsid w:val="76C36036"/>
    <w:rsid w:val="76C69F59"/>
    <w:rsid w:val="76CB9954"/>
    <w:rsid w:val="76D41042"/>
    <w:rsid w:val="76D81E1B"/>
    <w:rsid w:val="76DD91F1"/>
    <w:rsid w:val="76DFA0E7"/>
    <w:rsid w:val="76DFEEDC"/>
    <w:rsid w:val="76E74953"/>
    <w:rsid w:val="76E79D46"/>
    <w:rsid w:val="76F258E3"/>
    <w:rsid w:val="76F7F009"/>
    <w:rsid w:val="76FA7639"/>
    <w:rsid w:val="76FF709A"/>
    <w:rsid w:val="770199AE"/>
    <w:rsid w:val="7708B734"/>
    <w:rsid w:val="7709C6FD"/>
    <w:rsid w:val="7709D302"/>
    <w:rsid w:val="770B699A"/>
    <w:rsid w:val="770D1738"/>
    <w:rsid w:val="77172C8B"/>
    <w:rsid w:val="771A14B2"/>
    <w:rsid w:val="771DCAE1"/>
    <w:rsid w:val="772A9719"/>
    <w:rsid w:val="772CCCD3"/>
    <w:rsid w:val="773090F5"/>
    <w:rsid w:val="7736DFD7"/>
    <w:rsid w:val="773D8502"/>
    <w:rsid w:val="77441C6A"/>
    <w:rsid w:val="774809C9"/>
    <w:rsid w:val="774A37E0"/>
    <w:rsid w:val="774AF896"/>
    <w:rsid w:val="774BE93C"/>
    <w:rsid w:val="7753A98E"/>
    <w:rsid w:val="7756878C"/>
    <w:rsid w:val="775B1424"/>
    <w:rsid w:val="775FFF8E"/>
    <w:rsid w:val="776071F5"/>
    <w:rsid w:val="7765CA14"/>
    <w:rsid w:val="776B43FE"/>
    <w:rsid w:val="776ED606"/>
    <w:rsid w:val="776F2C52"/>
    <w:rsid w:val="7771DBA9"/>
    <w:rsid w:val="77738FFC"/>
    <w:rsid w:val="7775C9D8"/>
    <w:rsid w:val="7776144A"/>
    <w:rsid w:val="77828344"/>
    <w:rsid w:val="77897986"/>
    <w:rsid w:val="778F97D5"/>
    <w:rsid w:val="779DBEA8"/>
    <w:rsid w:val="779DE95B"/>
    <w:rsid w:val="77A45584"/>
    <w:rsid w:val="77A5F6FF"/>
    <w:rsid w:val="77ABB6D9"/>
    <w:rsid w:val="77AF3A8D"/>
    <w:rsid w:val="77B3E013"/>
    <w:rsid w:val="77B7F181"/>
    <w:rsid w:val="77BBA00F"/>
    <w:rsid w:val="77BBC251"/>
    <w:rsid w:val="77BF6123"/>
    <w:rsid w:val="77BFC417"/>
    <w:rsid w:val="77C144F8"/>
    <w:rsid w:val="77C34737"/>
    <w:rsid w:val="77C3B183"/>
    <w:rsid w:val="77C622DA"/>
    <w:rsid w:val="77C84BFD"/>
    <w:rsid w:val="77CC3741"/>
    <w:rsid w:val="77D23F46"/>
    <w:rsid w:val="77D3820A"/>
    <w:rsid w:val="77D640F3"/>
    <w:rsid w:val="77D886B5"/>
    <w:rsid w:val="77E9C6A1"/>
    <w:rsid w:val="77EBBC68"/>
    <w:rsid w:val="77ECDC9A"/>
    <w:rsid w:val="77FA1B3D"/>
    <w:rsid w:val="77FA46A0"/>
    <w:rsid w:val="78129C8D"/>
    <w:rsid w:val="781889B1"/>
    <w:rsid w:val="781B64C0"/>
    <w:rsid w:val="781DB233"/>
    <w:rsid w:val="782483D7"/>
    <w:rsid w:val="78273B3F"/>
    <w:rsid w:val="7827BFA8"/>
    <w:rsid w:val="782B507B"/>
    <w:rsid w:val="782BF52B"/>
    <w:rsid w:val="7835E4F8"/>
    <w:rsid w:val="783A3DC8"/>
    <w:rsid w:val="783E5E6C"/>
    <w:rsid w:val="783F8F99"/>
    <w:rsid w:val="78479A43"/>
    <w:rsid w:val="78481328"/>
    <w:rsid w:val="78486BC2"/>
    <w:rsid w:val="7853C731"/>
    <w:rsid w:val="785866E1"/>
    <w:rsid w:val="7859F71A"/>
    <w:rsid w:val="7859FB20"/>
    <w:rsid w:val="785A3E47"/>
    <w:rsid w:val="7861FB57"/>
    <w:rsid w:val="7864ECCE"/>
    <w:rsid w:val="7868D4ED"/>
    <w:rsid w:val="78714DBA"/>
    <w:rsid w:val="7871AC0B"/>
    <w:rsid w:val="78768E33"/>
    <w:rsid w:val="78772849"/>
    <w:rsid w:val="78779B67"/>
    <w:rsid w:val="787BE61C"/>
    <w:rsid w:val="788DCF87"/>
    <w:rsid w:val="788ED2E9"/>
    <w:rsid w:val="788FE6D2"/>
    <w:rsid w:val="789589AF"/>
    <w:rsid w:val="78A32600"/>
    <w:rsid w:val="78A32664"/>
    <w:rsid w:val="78AACCAF"/>
    <w:rsid w:val="78AB7564"/>
    <w:rsid w:val="78AE7FF1"/>
    <w:rsid w:val="78B11662"/>
    <w:rsid w:val="78B217BF"/>
    <w:rsid w:val="78B65E7A"/>
    <w:rsid w:val="78B79E15"/>
    <w:rsid w:val="78BDCC5F"/>
    <w:rsid w:val="78C09D03"/>
    <w:rsid w:val="78C130B2"/>
    <w:rsid w:val="78CADFD0"/>
    <w:rsid w:val="78CC65B0"/>
    <w:rsid w:val="78D27D8E"/>
    <w:rsid w:val="78D410CA"/>
    <w:rsid w:val="78D56068"/>
    <w:rsid w:val="78D5AD2E"/>
    <w:rsid w:val="78D891B3"/>
    <w:rsid w:val="78DA5FB3"/>
    <w:rsid w:val="78DC3B91"/>
    <w:rsid w:val="78DE3D47"/>
    <w:rsid w:val="78E4FDB7"/>
    <w:rsid w:val="78E8C334"/>
    <w:rsid w:val="78F5457D"/>
    <w:rsid w:val="790157CB"/>
    <w:rsid w:val="790C2BD8"/>
    <w:rsid w:val="790C5383"/>
    <w:rsid w:val="790EA91A"/>
    <w:rsid w:val="79138DD3"/>
    <w:rsid w:val="79371336"/>
    <w:rsid w:val="79395C3C"/>
    <w:rsid w:val="793979B0"/>
    <w:rsid w:val="793A5CB6"/>
    <w:rsid w:val="793F22E0"/>
    <w:rsid w:val="79442F39"/>
    <w:rsid w:val="79458CE3"/>
    <w:rsid w:val="79486182"/>
    <w:rsid w:val="794B5EC4"/>
    <w:rsid w:val="795F5651"/>
    <w:rsid w:val="7960D1FC"/>
    <w:rsid w:val="79620DA6"/>
    <w:rsid w:val="79633FA8"/>
    <w:rsid w:val="7968E42C"/>
    <w:rsid w:val="796DD634"/>
    <w:rsid w:val="797053CC"/>
    <w:rsid w:val="797205D7"/>
    <w:rsid w:val="79838904"/>
    <w:rsid w:val="7984D492"/>
    <w:rsid w:val="79862C50"/>
    <w:rsid w:val="7986A32C"/>
    <w:rsid w:val="7987C33F"/>
    <w:rsid w:val="798C043D"/>
    <w:rsid w:val="798E6F0F"/>
    <w:rsid w:val="7990275D"/>
    <w:rsid w:val="7992C0B3"/>
    <w:rsid w:val="79AC75A0"/>
    <w:rsid w:val="79AD4BEE"/>
    <w:rsid w:val="79ADE2EF"/>
    <w:rsid w:val="79B2DE80"/>
    <w:rsid w:val="79B88761"/>
    <w:rsid w:val="79C30616"/>
    <w:rsid w:val="79C59570"/>
    <w:rsid w:val="79C6D1D9"/>
    <w:rsid w:val="79CD6224"/>
    <w:rsid w:val="79D0C648"/>
    <w:rsid w:val="79D2B013"/>
    <w:rsid w:val="79D354B4"/>
    <w:rsid w:val="79D3A7ED"/>
    <w:rsid w:val="79D64EC3"/>
    <w:rsid w:val="79E23B30"/>
    <w:rsid w:val="79E32370"/>
    <w:rsid w:val="79E4F2DE"/>
    <w:rsid w:val="79EF1F75"/>
    <w:rsid w:val="79F0E2E2"/>
    <w:rsid w:val="79F1589C"/>
    <w:rsid w:val="79F419EE"/>
    <w:rsid w:val="79F47A4D"/>
    <w:rsid w:val="79F9A737"/>
    <w:rsid w:val="79F9DDAA"/>
    <w:rsid w:val="79FBB39B"/>
    <w:rsid w:val="79FBFEAA"/>
    <w:rsid w:val="79FF6DCE"/>
    <w:rsid w:val="79FF6EC4"/>
    <w:rsid w:val="79FFEA5F"/>
    <w:rsid w:val="7A037577"/>
    <w:rsid w:val="7A045A0E"/>
    <w:rsid w:val="7A05F0DE"/>
    <w:rsid w:val="7A09962E"/>
    <w:rsid w:val="7A10F13D"/>
    <w:rsid w:val="7A15CC4E"/>
    <w:rsid w:val="7A1A2B07"/>
    <w:rsid w:val="7A1E6D5D"/>
    <w:rsid w:val="7A2A9457"/>
    <w:rsid w:val="7A349655"/>
    <w:rsid w:val="7A55ECEE"/>
    <w:rsid w:val="7A66289E"/>
    <w:rsid w:val="7A665633"/>
    <w:rsid w:val="7A68B937"/>
    <w:rsid w:val="7A6A2E80"/>
    <w:rsid w:val="7A724EA4"/>
    <w:rsid w:val="7A749846"/>
    <w:rsid w:val="7A77DB8B"/>
    <w:rsid w:val="7A79DB48"/>
    <w:rsid w:val="7A7A42F6"/>
    <w:rsid w:val="7A82714F"/>
    <w:rsid w:val="7A832CBD"/>
    <w:rsid w:val="7A8571D9"/>
    <w:rsid w:val="7A88AB91"/>
    <w:rsid w:val="7A8DFBA0"/>
    <w:rsid w:val="7A9FD32F"/>
    <w:rsid w:val="7AA0E18B"/>
    <w:rsid w:val="7AA25E6D"/>
    <w:rsid w:val="7AA316CC"/>
    <w:rsid w:val="7AA894BD"/>
    <w:rsid w:val="7AB51A2F"/>
    <w:rsid w:val="7AB9276B"/>
    <w:rsid w:val="7ABE1A1B"/>
    <w:rsid w:val="7AC22AB7"/>
    <w:rsid w:val="7AC2A834"/>
    <w:rsid w:val="7AC458FD"/>
    <w:rsid w:val="7AC73825"/>
    <w:rsid w:val="7ACAF12C"/>
    <w:rsid w:val="7AD3222B"/>
    <w:rsid w:val="7AEBCAC4"/>
    <w:rsid w:val="7AF2E403"/>
    <w:rsid w:val="7AF6CEF3"/>
    <w:rsid w:val="7B0EF09A"/>
    <w:rsid w:val="7B141512"/>
    <w:rsid w:val="7B18510A"/>
    <w:rsid w:val="7B199F32"/>
    <w:rsid w:val="7B244933"/>
    <w:rsid w:val="7B28E860"/>
    <w:rsid w:val="7B2A245D"/>
    <w:rsid w:val="7B2B23E4"/>
    <w:rsid w:val="7B2C4C2B"/>
    <w:rsid w:val="7B2D4DE4"/>
    <w:rsid w:val="7B3DDE91"/>
    <w:rsid w:val="7B3F8654"/>
    <w:rsid w:val="7B3FC8EF"/>
    <w:rsid w:val="7B4BFCB0"/>
    <w:rsid w:val="7B4D0D73"/>
    <w:rsid w:val="7B4EFB3C"/>
    <w:rsid w:val="7B520E41"/>
    <w:rsid w:val="7B53D167"/>
    <w:rsid w:val="7B5D2B85"/>
    <w:rsid w:val="7B5DCF56"/>
    <w:rsid w:val="7B62AFD0"/>
    <w:rsid w:val="7B631A70"/>
    <w:rsid w:val="7B647BFD"/>
    <w:rsid w:val="7B6ADC91"/>
    <w:rsid w:val="7B6CF341"/>
    <w:rsid w:val="7B6EFF57"/>
    <w:rsid w:val="7B73C45C"/>
    <w:rsid w:val="7B753870"/>
    <w:rsid w:val="7B810957"/>
    <w:rsid w:val="7B8208FF"/>
    <w:rsid w:val="7B8292D3"/>
    <w:rsid w:val="7B82BDCE"/>
    <w:rsid w:val="7B871F30"/>
    <w:rsid w:val="7B8C5736"/>
    <w:rsid w:val="7B960491"/>
    <w:rsid w:val="7B962CA0"/>
    <w:rsid w:val="7B9BB37A"/>
    <w:rsid w:val="7B9D6162"/>
    <w:rsid w:val="7B9F05F5"/>
    <w:rsid w:val="7BA11975"/>
    <w:rsid w:val="7BA6311F"/>
    <w:rsid w:val="7BA9BFD9"/>
    <w:rsid w:val="7BAB7CF1"/>
    <w:rsid w:val="7BAED832"/>
    <w:rsid w:val="7BAFD70E"/>
    <w:rsid w:val="7BB72646"/>
    <w:rsid w:val="7BB81473"/>
    <w:rsid w:val="7BC4168D"/>
    <w:rsid w:val="7BC9650F"/>
    <w:rsid w:val="7BC97CF1"/>
    <w:rsid w:val="7BCD945B"/>
    <w:rsid w:val="7BD9277F"/>
    <w:rsid w:val="7BE07F95"/>
    <w:rsid w:val="7BEE648C"/>
    <w:rsid w:val="7BEEDBDF"/>
    <w:rsid w:val="7BF1353F"/>
    <w:rsid w:val="7BF2F158"/>
    <w:rsid w:val="7BF82A18"/>
    <w:rsid w:val="7BFE37DC"/>
    <w:rsid w:val="7C0131E3"/>
    <w:rsid w:val="7C0429C4"/>
    <w:rsid w:val="7C05D58D"/>
    <w:rsid w:val="7C0794EC"/>
    <w:rsid w:val="7C07EA8F"/>
    <w:rsid w:val="7C08F8F0"/>
    <w:rsid w:val="7C096F60"/>
    <w:rsid w:val="7C0B74AE"/>
    <w:rsid w:val="7C0D8554"/>
    <w:rsid w:val="7C1AF9AB"/>
    <w:rsid w:val="7C22729E"/>
    <w:rsid w:val="7C250545"/>
    <w:rsid w:val="7C2D2F0E"/>
    <w:rsid w:val="7C2E308D"/>
    <w:rsid w:val="7C2F34F0"/>
    <w:rsid w:val="7C45D434"/>
    <w:rsid w:val="7C553A6B"/>
    <w:rsid w:val="7C556AF7"/>
    <w:rsid w:val="7C5F8EFF"/>
    <w:rsid w:val="7C60D530"/>
    <w:rsid w:val="7C695A2D"/>
    <w:rsid w:val="7C710588"/>
    <w:rsid w:val="7C71E5A7"/>
    <w:rsid w:val="7C73165F"/>
    <w:rsid w:val="7C74121A"/>
    <w:rsid w:val="7C74C0A9"/>
    <w:rsid w:val="7C74D328"/>
    <w:rsid w:val="7C78F2C5"/>
    <w:rsid w:val="7C792287"/>
    <w:rsid w:val="7C7E429D"/>
    <w:rsid w:val="7C81A8BA"/>
    <w:rsid w:val="7C8FE040"/>
    <w:rsid w:val="7C90EA39"/>
    <w:rsid w:val="7C936113"/>
    <w:rsid w:val="7C940263"/>
    <w:rsid w:val="7C96959D"/>
    <w:rsid w:val="7C9716A1"/>
    <w:rsid w:val="7C97669E"/>
    <w:rsid w:val="7C9C3FFF"/>
    <w:rsid w:val="7CB4FB5D"/>
    <w:rsid w:val="7CB61C43"/>
    <w:rsid w:val="7CBA7A3F"/>
    <w:rsid w:val="7CC46D5C"/>
    <w:rsid w:val="7CC81CB7"/>
    <w:rsid w:val="7CD595C6"/>
    <w:rsid w:val="7CD8E6FF"/>
    <w:rsid w:val="7CD98FA6"/>
    <w:rsid w:val="7CDA13CB"/>
    <w:rsid w:val="7CE320DF"/>
    <w:rsid w:val="7CEA17F0"/>
    <w:rsid w:val="7CF0BDBB"/>
    <w:rsid w:val="7CF4D20B"/>
    <w:rsid w:val="7CF54658"/>
    <w:rsid w:val="7CF828AD"/>
    <w:rsid w:val="7CFB1E17"/>
    <w:rsid w:val="7D0539DF"/>
    <w:rsid w:val="7D15E0A7"/>
    <w:rsid w:val="7D167F1D"/>
    <w:rsid w:val="7D20660E"/>
    <w:rsid w:val="7D20F945"/>
    <w:rsid w:val="7D23F760"/>
    <w:rsid w:val="7D242FD3"/>
    <w:rsid w:val="7D2A7455"/>
    <w:rsid w:val="7D2BFF5A"/>
    <w:rsid w:val="7D311F29"/>
    <w:rsid w:val="7D3CE533"/>
    <w:rsid w:val="7D3E5491"/>
    <w:rsid w:val="7D3F8BA2"/>
    <w:rsid w:val="7D45154E"/>
    <w:rsid w:val="7D466480"/>
    <w:rsid w:val="7D4687A8"/>
    <w:rsid w:val="7D4CB144"/>
    <w:rsid w:val="7D50D3D8"/>
    <w:rsid w:val="7D5B935B"/>
    <w:rsid w:val="7D5C1181"/>
    <w:rsid w:val="7D5C1C52"/>
    <w:rsid w:val="7D5E0187"/>
    <w:rsid w:val="7D663F94"/>
    <w:rsid w:val="7D6B0747"/>
    <w:rsid w:val="7D6BAF3F"/>
    <w:rsid w:val="7D6E3BE4"/>
    <w:rsid w:val="7D6EF73E"/>
    <w:rsid w:val="7D7025AF"/>
    <w:rsid w:val="7D78010C"/>
    <w:rsid w:val="7D806FFC"/>
    <w:rsid w:val="7D8581CE"/>
    <w:rsid w:val="7D88CDEF"/>
    <w:rsid w:val="7D8DFB5B"/>
    <w:rsid w:val="7D8F7E00"/>
    <w:rsid w:val="7D926E7C"/>
    <w:rsid w:val="7D9C6E0A"/>
    <w:rsid w:val="7DA535AC"/>
    <w:rsid w:val="7DAA4B1F"/>
    <w:rsid w:val="7DB3D5C4"/>
    <w:rsid w:val="7DB60DE1"/>
    <w:rsid w:val="7DB63D15"/>
    <w:rsid w:val="7DB79FA7"/>
    <w:rsid w:val="7DB99676"/>
    <w:rsid w:val="7DBA3393"/>
    <w:rsid w:val="7DBE03E6"/>
    <w:rsid w:val="7DBEB0B5"/>
    <w:rsid w:val="7DBF493B"/>
    <w:rsid w:val="7DC249AE"/>
    <w:rsid w:val="7DC8B9B6"/>
    <w:rsid w:val="7DE7D2F9"/>
    <w:rsid w:val="7DE82FFC"/>
    <w:rsid w:val="7DF09985"/>
    <w:rsid w:val="7DF99B51"/>
    <w:rsid w:val="7DFE2B2D"/>
    <w:rsid w:val="7DFEEFBC"/>
    <w:rsid w:val="7E0001B4"/>
    <w:rsid w:val="7E00C26D"/>
    <w:rsid w:val="7E01711B"/>
    <w:rsid w:val="7E0653E2"/>
    <w:rsid w:val="7E0A1893"/>
    <w:rsid w:val="7E0B6333"/>
    <w:rsid w:val="7E0ED42F"/>
    <w:rsid w:val="7E123D3D"/>
    <w:rsid w:val="7E144BEC"/>
    <w:rsid w:val="7E1DAE7F"/>
    <w:rsid w:val="7E288AE5"/>
    <w:rsid w:val="7E2ECD1E"/>
    <w:rsid w:val="7E34839B"/>
    <w:rsid w:val="7E393B6F"/>
    <w:rsid w:val="7E3A3910"/>
    <w:rsid w:val="7E3AE642"/>
    <w:rsid w:val="7E3E5058"/>
    <w:rsid w:val="7E3F4B27"/>
    <w:rsid w:val="7E40FA03"/>
    <w:rsid w:val="7E4149A6"/>
    <w:rsid w:val="7E43EAC1"/>
    <w:rsid w:val="7E488289"/>
    <w:rsid w:val="7E5679AC"/>
    <w:rsid w:val="7E589E8F"/>
    <w:rsid w:val="7E5D08F1"/>
    <w:rsid w:val="7E6038DE"/>
    <w:rsid w:val="7E757240"/>
    <w:rsid w:val="7E7C91E9"/>
    <w:rsid w:val="7E7CCEDF"/>
    <w:rsid w:val="7E7CE4F5"/>
    <w:rsid w:val="7E839131"/>
    <w:rsid w:val="7E88AD96"/>
    <w:rsid w:val="7E88D15A"/>
    <w:rsid w:val="7E8DA576"/>
    <w:rsid w:val="7E8F6FCB"/>
    <w:rsid w:val="7E9458BC"/>
    <w:rsid w:val="7E973D14"/>
    <w:rsid w:val="7EA15119"/>
    <w:rsid w:val="7EA836A4"/>
    <w:rsid w:val="7EA9E12F"/>
    <w:rsid w:val="7EB149C1"/>
    <w:rsid w:val="7EC0A789"/>
    <w:rsid w:val="7EC41CBE"/>
    <w:rsid w:val="7ED4A14E"/>
    <w:rsid w:val="7EDB7F63"/>
    <w:rsid w:val="7EE13179"/>
    <w:rsid w:val="7EE5B306"/>
    <w:rsid w:val="7EE7B1FA"/>
    <w:rsid w:val="7EEA363C"/>
    <w:rsid w:val="7EEFDE48"/>
    <w:rsid w:val="7EF520AB"/>
    <w:rsid w:val="7EF5BA1D"/>
    <w:rsid w:val="7EF84C10"/>
    <w:rsid w:val="7EFBC365"/>
    <w:rsid w:val="7EFC8BD6"/>
    <w:rsid w:val="7EFC977A"/>
    <w:rsid w:val="7EFCB624"/>
    <w:rsid w:val="7EFF3E65"/>
    <w:rsid w:val="7F02785E"/>
    <w:rsid w:val="7F0392EA"/>
    <w:rsid w:val="7F0539C8"/>
    <w:rsid w:val="7F05A078"/>
    <w:rsid w:val="7F065462"/>
    <w:rsid w:val="7F0877C5"/>
    <w:rsid w:val="7F08A191"/>
    <w:rsid w:val="7F09D04D"/>
    <w:rsid w:val="7F1393A2"/>
    <w:rsid w:val="7F1D3A61"/>
    <w:rsid w:val="7F1D40AA"/>
    <w:rsid w:val="7F1DB820"/>
    <w:rsid w:val="7F209B81"/>
    <w:rsid w:val="7F21FD47"/>
    <w:rsid w:val="7F25E8DE"/>
    <w:rsid w:val="7F2959AE"/>
    <w:rsid w:val="7F4668A1"/>
    <w:rsid w:val="7F47991E"/>
    <w:rsid w:val="7F51D374"/>
    <w:rsid w:val="7F52F2D6"/>
    <w:rsid w:val="7F55BF81"/>
    <w:rsid w:val="7F5607A3"/>
    <w:rsid w:val="7F57F570"/>
    <w:rsid w:val="7F6B652E"/>
    <w:rsid w:val="7F6FCD5E"/>
    <w:rsid w:val="7F710C7A"/>
    <w:rsid w:val="7F782CF7"/>
    <w:rsid w:val="7F792871"/>
    <w:rsid w:val="7F7F04B1"/>
    <w:rsid w:val="7F7FC93D"/>
    <w:rsid w:val="7F849CA5"/>
    <w:rsid w:val="7F8EC17D"/>
    <w:rsid w:val="7F9AFB19"/>
    <w:rsid w:val="7FA7543C"/>
    <w:rsid w:val="7FABAFFF"/>
    <w:rsid w:val="7FACA2A6"/>
    <w:rsid w:val="7FB1EDD4"/>
    <w:rsid w:val="7FB2C380"/>
    <w:rsid w:val="7FB3B130"/>
    <w:rsid w:val="7FBE372B"/>
    <w:rsid w:val="7FBEED13"/>
    <w:rsid w:val="7FC06941"/>
    <w:rsid w:val="7FC506F9"/>
    <w:rsid w:val="7FC9BE0D"/>
    <w:rsid w:val="7FCBA7A1"/>
    <w:rsid w:val="7FD0533C"/>
    <w:rsid w:val="7FD480A3"/>
    <w:rsid w:val="7FD9E7E5"/>
    <w:rsid w:val="7FDD7586"/>
    <w:rsid w:val="7FE469C1"/>
    <w:rsid w:val="7FEFF982"/>
    <w:rsid w:val="7FF10DD8"/>
    <w:rsid w:val="7FF920D8"/>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06B85"/>
  <w15:chartTrackingRefBased/>
  <w15:docId w15:val="{C25F71EE-E535-4350-BC93-D15661C38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989"/>
    <w:rPr>
      <w:rFonts w:ascii="Arial" w:hAnsi="Arial"/>
      <w:sz w:val="20"/>
    </w:rPr>
  </w:style>
  <w:style w:type="paragraph" w:styleId="Titre1">
    <w:name w:val="heading 1"/>
    <w:basedOn w:val="Normal"/>
    <w:next w:val="Normal"/>
    <w:uiPriority w:val="9"/>
    <w:qFormat/>
    <w:rsid w:val="39A129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uiPriority w:val="9"/>
    <w:unhideWhenUsed/>
    <w:qFormat/>
    <w:rsid w:val="39A129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uiPriority w:val="9"/>
    <w:unhideWhenUsed/>
    <w:qFormat/>
    <w:rsid w:val="39A1295F"/>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uiPriority w:val="9"/>
    <w:unhideWhenUsed/>
    <w:qFormat/>
    <w:rsid w:val="39A1295F"/>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unhideWhenUsed/>
    <w:qFormat/>
    <w:rsid w:val="39A1295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uiPriority w:val="9"/>
    <w:unhideWhenUsed/>
    <w:qFormat/>
    <w:rsid w:val="6E46ABB0"/>
    <w:pPr>
      <w:keepNext/>
      <w:keepLines/>
      <w:spacing w:before="40" w:after="0"/>
      <w:outlineLvl w:val="5"/>
    </w:pPr>
    <w:rPr>
      <w:rFonts w:eastAsiaTheme="majorEastAsia" w:cstheme="majorBidi"/>
      <w:i/>
      <w:iC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5F1A6258"/>
    <w:pPr>
      <w:ind w:left="720"/>
      <w:contextualSpacing/>
    </w:p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M1">
    <w:name w:val="toc 1"/>
    <w:basedOn w:val="Normal"/>
    <w:next w:val="Normal"/>
    <w:uiPriority w:val="39"/>
    <w:unhideWhenUsed/>
    <w:rsid w:val="39A1295F"/>
    <w:pPr>
      <w:spacing w:after="100"/>
    </w:pPr>
  </w:style>
  <w:style w:type="character" w:styleId="Lienhypertexte">
    <w:name w:val="Hyperlink"/>
    <w:basedOn w:val="Policepardfaut"/>
    <w:uiPriority w:val="99"/>
    <w:unhideWhenUsed/>
    <w:rsid w:val="39A1295F"/>
    <w:rPr>
      <w:color w:val="467886"/>
      <w:u w:val="single"/>
    </w:rPr>
  </w:style>
  <w:style w:type="paragraph" w:styleId="TM2">
    <w:name w:val="toc 2"/>
    <w:basedOn w:val="Normal"/>
    <w:next w:val="Normal"/>
    <w:uiPriority w:val="39"/>
    <w:unhideWhenUsed/>
    <w:rsid w:val="39A1295F"/>
    <w:pPr>
      <w:spacing w:after="100"/>
      <w:ind w:left="220"/>
    </w:pPr>
  </w:style>
  <w:style w:type="paragraph" w:styleId="TM3">
    <w:name w:val="toc 3"/>
    <w:basedOn w:val="Normal"/>
    <w:next w:val="Normal"/>
    <w:uiPriority w:val="39"/>
    <w:unhideWhenUsed/>
    <w:rsid w:val="39A1295F"/>
    <w:pPr>
      <w:spacing w:after="100"/>
      <w:ind w:left="440"/>
    </w:pPr>
  </w:style>
  <w:style w:type="paragraph" w:styleId="TM4">
    <w:name w:val="toc 4"/>
    <w:basedOn w:val="Normal"/>
    <w:next w:val="Normal"/>
    <w:uiPriority w:val="39"/>
    <w:unhideWhenUsed/>
    <w:rsid w:val="39A1295F"/>
    <w:pPr>
      <w:spacing w:after="100"/>
      <w:ind w:left="660"/>
    </w:pPr>
  </w:style>
  <w:style w:type="paragraph" w:styleId="TM5">
    <w:name w:val="toc 5"/>
    <w:basedOn w:val="Normal"/>
    <w:next w:val="Normal"/>
    <w:uiPriority w:val="39"/>
    <w:unhideWhenUsed/>
    <w:rsid w:val="39A1295F"/>
    <w:pPr>
      <w:spacing w:after="100"/>
      <w:ind w:left="880"/>
    </w:pPr>
  </w:style>
  <w:style w:type="character" w:customStyle="1" w:styleId="Titre5Car">
    <w:name w:val="Titre 5 Car"/>
    <w:basedOn w:val="Policepardfaut"/>
    <w:link w:val="Titre5"/>
    <w:uiPriority w:val="9"/>
    <w:rsid w:val="39A1295F"/>
    <w:rPr>
      <w:rFonts w:eastAsiaTheme="majorEastAsia" w:cstheme="majorBidi"/>
      <w:color w:val="0F4761" w:themeColor="accent1" w:themeShade="BF"/>
    </w:rPr>
  </w:style>
  <w:style w:type="paragraph" w:styleId="Commentaire">
    <w:name w:val="annotation text"/>
    <w:basedOn w:val="Normal"/>
    <w:link w:val="CommentaireCar"/>
    <w:uiPriority w:val="99"/>
    <w:unhideWhenUsed/>
    <w:pPr>
      <w:spacing w:line="240" w:lineRule="auto"/>
    </w:pPr>
    <w:rPr>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Rvision">
    <w:name w:val="Revision"/>
    <w:hidden/>
    <w:uiPriority w:val="99"/>
    <w:semiHidden/>
    <w:rsid w:val="00815403"/>
    <w:pPr>
      <w:spacing w:after="0" w:line="240" w:lineRule="auto"/>
    </w:pPr>
  </w:style>
  <w:style w:type="paragraph" w:styleId="Sansinterligne">
    <w:name w:val="No Spacing"/>
    <w:uiPriority w:val="1"/>
    <w:qFormat/>
    <w:rsid w:val="00C668C6"/>
    <w:pPr>
      <w:spacing w:after="0"/>
    </w:pPr>
    <w:rPr>
      <w:rFonts w:ascii="Arial" w:hAnsi="Arial"/>
      <w:sz w:val="20"/>
    </w:rPr>
  </w:style>
  <w:style w:type="character" w:customStyle="1" w:styleId="normaltextrun">
    <w:name w:val="normaltextrun"/>
    <w:basedOn w:val="Policepardfaut"/>
    <w:rsid w:val="5839B288"/>
    <w:rPr>
      <w:rFonts w:asciiTheme="minorHAnsi" w:eastAsiaTheme="minorEastAsia" w:hAnsiTheme="minorHAnsi" w:cstheme="minorBidi"/>
      <w:sz w:val="22"/>
      <w:szCs w:val="22"/>
    </w:rPr>
  </w:style>
  <w:style w:type="paragraph" w:styleId="Lgende">
    <w:name w:val="caption"/>
    <w:basedOn w:val="Normal"/>
    <w:next w:val="Normal"/>
    <w:uiPriority w:val="35"/>
    <w:unhideWhenUsed/>
    <w:qFormat/>
    <w:rsid w:val="00CE25AD"/>
    <w:pPr>
      <w:spacing w:after="200" w:line="240" w:lineRule="auto"/>
    </w:pPr>
    <w:rPr>
      <w:i/>
      <w:iCs/>
      <w:color w:val="0E2841" w:themeColor="text2"/>
      <w:sz w:val="18"/>
      <w:szCs w:val="18"/>
    </w:rPr>
  </w:style>
  <w:style w:type="paragraph" w:styleId="Objetducommentaire">
    <w:name w:val="annotation subject"/>
    <w:basedOn w:val="Commentaire"/>
    <w:next w:val="Commentaire"/>
    <w:link w:val="ObjetducommentaireCar"/>
    <w:uiPriority w:val="99"/>
    <w:semiHidden/>
    <w:unhideWhenUsed/>
    <w:rsid w:val="0004799F"/>
    <w:rPr>
      <w:b/>
      <w:bCs/>
    </w:rPr>
  </w:style>
  <w:style w:type="character" w:customStyle="1" w:styleId="ObjetducommentaireCar">
    <w:name w:val="Objet du commentaire Car"/>
    <w:basedOn w:val="CommentaireCar"/>
    <w:link w:val="Objetducommentaire"/>
    <w:uiPriority w:val="99"/>
    <w:semiHidden/>
    <w:rsid w:val="0004799F"/>
    <w:rPr>
      <w:b/>
      <w:bCs/>
      <w:sz w:val="20"/>
      <w:szCs w:val="20"/>
    </w:rPr>
  </w:style>
  <w:style w:type="paragraph" w:styleId="En-tte">
    <w:name w:val="header"/>
    <w:basedOn w:val="Normal"/>
    <w:uiPriority w:val="99"/>
    <w:unhideWhenUsed/>
    <w:rsid w:val="2B1DFB5D"/>
    <w:pPr>
      <w:tabs>
        <w:tab w:val="center" w:pos="4680"/>
        <w:tab w:val="right" w:pos="9360"/>
      </w:tabs>
      <w:spacing w:after="0" w:line="240" w:lineRule="auto"/>
    </w:pPr>
  </w:style>
  <w:style w:type="paragraph" w:styleId="Pieddepage">
    <w:name w:val="footer"/>
    <w:basedOn w:val="Normal"/>
    <w:link w:val="PieddepageCar"/>
    <w:uiPriority w:val="99"/>
    <w:unhideWhenUsed/>
    <w:rsid w:val="2B1DFB5D"/>
    <w:pPr>
      <w:tabs>
        <w:tab w:val="center" w:pos="4680"/>
        <w:tab w:val="right" w:pos="9360"/>
      </w:tabs>
      <w:spacing w:after="0" w:line="240" w:lineRule="auto"/>
    </w:pPr>
  </w:style>
  <w:style w:type="paragraph" w:styleId="TM6">
    <w:name w:val="toc 6"/>
    <w:basedOn w:val="Normal"/>
    <w:next w:val="Normal"/>
    <w:autoRedefine/>
    <w:uiPriority w:val="39"/>
    <w:unhideWhenUsed/>
    <w:rsid w:val="00596E29"/>
    <w:pPr>
      <w:spacing w:after="100"/>
      <w:ind w:left="1200"/>
    </w:pPr>
  </w:style>
  <w:style w:type="paragraph" w:styleId="Titre">
    <w:name w:val="Title"/>
    <w:basedOn w:val="Normal"/>
    <w:next w:val="Normal"/>
    <w:link w:val="TitreCar"/>
    <w:uiPriority w:val="10"/>
    <w:qFormat/>
    <w:rsid w:val="0005720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57206"/>
    <w:rPr>
      <w:rFonts w:asciiTheme="majorHAnsi" w:eastAsiaTheme="majorEastAsia" w:hAnsiTheme="majorHAnsi" w:cstheme="majorBidi"/>
      <w:spacing w:val="-10"/>
      <w:kern w:val="28"/>
      <w:sz w:val="56"/>
      <w:szCs w:val="56"/>
    </w:rPr>
  </w:style>
  <w:style w:type="character" w:customStyle="1" w:styleId="PieddepageCar">
    <w:name w:val="Pied de page Car"/>
    <w:basedOn w:val="Policepardfaut"/>
    <w:link w:val="Pieddepage"/>
    <w:uiPriority w:val="99"/>
    <w:rsid w:val="00412D7D"/>
  </w:style>
  <w:style w:type="character" w:styleId="Appelnotedebasdep">
    <w:name w:val="footnote reference"/>
    <w:basedOn w:val="Policepardfaut"/>
    <w:uiPriority w:val="99"/>
    <w:semiHidden/>
    <w:unhideWhenUsed/>
    <w:rsid w:val="31197534"/>
    <w:rPr>
      <w:vertAlign w:val="superscript"/>
    </w:rPr>
  </w:style>
  <w:style w:type="character" w:styleId="Textedelespacerserv">
    <w:name w:val="Placeholder Text"/>
    <w:basedOn w:val="Policepardfaut"/>
    <w:uiPriority w:val="99"/>
    <w:semiHidden/>
    <w:rsid w:val="31197534"/>
    <w:rPr>
      <w:color w:val="808080" w:themeColor="background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362443">
      <w:bodyDiv w:val="1"/>
      <w:marLeft w:val="0"/>
      <w:marRight w:val="0"/>
      <w:marTop w:val="0"/>
      <w:marBottom w:val="0"/>
      <w:divBdr>
        <w:top w:val="none" w:sz="0" w:space="0" w:color="auto"/>
        <w:left w:val="none" w:sz="0" w:space="0" w:color="auto"/>
        <w:bottom w:val="none" w:sz="0" w:space="0" w:color="auto"/>
        <w:right w:val="none" w:sz="0" w:space="0" w:color="auto"/>
      </w:divBdr>
    </w:div>
    <w:div w:id="1122386964">
      <w:bodyDiv w:val="1"/>
      <w:marLeft w:val="0"/>
      <w:marRight w:val="0"/>
      <w:marTop w:val="0"/>
      <w:marBottom w:val="0"/>
      <w:divBdr>
        <w:top w:val="none" w:sz="0" w:space="0" w:color="auto"/>
        <w:left w:val="none" w:sz="0" w:space="0" w:color="auto"/>
        <w:bottom w:val="none" w:sz="0" w:space="0" w:color="auto"/>
        <w:right w:val="none" w:sz="0" w:space="0" w:color="auto"/>
      </w:divBdr>
    </w:div>
    <w:div w:id="1524321654">
      <w:bodyDiv w:val="1"/>
      <w:marLeft w:val="0"/>
      <w:marRight w:val="0"/>
      <w:marTop w:val="0"/>
      <w:marBottom w:val="0"/>
      <w:divBdr>
        <w:top w:val="none" w:sz="0" w:space="0" w:color="auto"/>
        <w:left w:val="none" w:sz="0" w:space="0" w:color="auto"/>
        <w:bottom w:val="none" w:sz="0" w:space="0" w:color="auto"/>
        <w:right w:val="none" w:sz="0" w:space="0" w:color="auto"/>
      </w:divBdr>
    </w:div>
    <w:div w:id="1862160745">
      <w:bodyDiv w:val="1"/>
      <w:marLeft w:val="0"/>
      <w:marRight w:val="0"/>
      <w:marTop w:val="0"/>
      <w:marBottom w:val="0"/>
      <w:divBdr>
        <w:top w:val="none" w:sz="0" w:space="0" w:color="auto"/>
        <w:left w:val="none" w:sz="0" w:space="0" w:color="auto"/>
        <w:bottom w:val="none" w:sz="0" w:space="0" w:color="auto"/>
        <w:right w:val="none" w:sz="0" w:space="0" w:color="auto"/>
      </w:divBdr>
    </w:div>
    <w:div w:id="1974670531">
      <w:bodyDiv w:val="1"/>
      <w:marLeft w:val="0"/>
      <w:marRight w:val="0"/>
      <w:marTop w:val="0"/>
      <w:marBottom w:val="0"/>
      <w:divBdr>
        <w:top w:val="none" w:sz="0" w:space="0" w:color="auto"/>
        <w:left w:val="none" w:sz="0" w:space="0" w:color="auto"/>
        <w:bottom w:val="none" w:sz="0" w:space="0" w:color="auto"/>
        <w:right w:val="none" w:sz="0" w:space="0" w:color="auto"/>
      </w:divBdr>
    </w:div>
    <w:div w:id="2078896598">
      <w:bodyDiv w:val="1"/>
      <w:marLeft w:val="0"/>
      <w:marRight w:val="0"/>
      <w:marTop w:val="0"/>
      <w:marBottom w:val="0"/>
      <w:divBdr>
        <w:top w:val="none" w:sz="0" w:space="0" w:color="auto"/>
        <w:left w:val="none" w:sz="0" w:space="0" w:color="auto"/>
        <w:bottom w:val="none" w:sz="0" w:space="0" w:color="auto"/>
        <w:right w:val="none" w:sz="0" w:space="0" w:color="auto"/>
      </w:divBdr>
    </w:div>
    <w:div w:id="210359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artedemodulation.be/" TargetMode="External"/><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9.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hyperlink" Target="https://agriculture.wallonie.be/home/aides/pac-2023-2027-description-des-interventions/mesures-agro-environnementales-et-climatiques-nouveaute-2024/maec-sol---mr14-nouveaute-2024.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png"/><Relationship Id="rId11" Type="http://schemas.openxmlformats.org/officeDocument/2006/relationships/image" Target="media/image2.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artois@cra.wallonie.be" TargetMode="External"/><Relationship Id="rId14" Type="http://schemas.openxmlformats.org/officeDocument/2006/relationships/image" Target="media/image4.png"/><Relationship Id="rId22" Type="http://schemas.openxmlformats.org/officeDocument/2006/relationships/hyperlink" Target="https://www.interrascan.com" TargetMode="Externa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8" Type="http://schemas.openxmlformats.org/officeDocument/2006/relationships/header" Target="header1.xml"/><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0" Type="http://schemas.openxmlformats.org/officeDocument/2006/relationships/hyperlink" Target="https://www.cartedemodulation.be/" TargetMode="External"/><Relationship Id="rId41" Type="http://schemas.openxmlformats.org/officeDocument/2006/relationships/image" Target="media/image28.png"/><Relationship Id="rId54"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interrascan.com"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ede5e7f-7268-44e7-8351-f135b328755d">
  <we:reference id="f78a3046-9e99-4300-aa2b-5814002b01a2" version="1.55.1.0" store="excatalog" storeType="excatalog"/>
  <we:alternateReferences>
    <we:reference id="WA104382081" version="1.55.1.0" store="fr-fr" storeType="omex"/>
  </we:alternateReferences>
  <we:properties>
    <we:property name="MENDELEY_CITATIONS" value="[]"/>
    <we:property name="MENDELEY_CITATIONS_STYLE" value="{&quot;id&quot;:&quot;https://www.zotero.org/styles/apa&quot;,&quot;title&quot;:&quot;APA Style 7th edition&quot;,&quot;format&quot;:&quot;author-date&quot;,&quot;defaultLocale&quot;:null,&quot;isLocaleCodeValid&quot;:true}"/>
    <we:property name="MENDELEY_BIBLIOGRAPHY_IS_DIRTY" value="false"/>
    <we:property name="MENDELEY_BIBLIOGRAPHY_LAST_MODIFIED" value="1775800664296"/>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3A825-91D3-4486-871E-31D4FEE1D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54</Pages>
  <Words>15426</Words>
  <Characters>84844</Characters>
  <Application>Microsoft Office Word</Application>
  <DocSecurity>0</DocSecurity>
  <Lines>707</Lines>
  <Paragraphs>200</Paragraphs>
  <ScaleCrop>false</ScaleCrop>
  <Company/>
  <LinksUpToDate>false</LinksUpToDate>
  <CharactersWithSpaces>100070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ARTOIS</dc:creator>
  <cp:keywords/>
  <dc:description/>
  <cp:lastModifiedBy>Antoine CONOTTE</cp:lastModifiedBy>
  <cp:revision>2826</cp:revision>
  <cp:lastPrinted>2025-08-21T03:48:00Z</cp:lastPrinted>
  <dcterms:created xsi:type="dcterms:W3CDTF">2025-06-27T01:41:00Z</dcterms:created>
  <dcterms:modified xsi:type="dcterms:W3CDTF">2026-04-23T09:07:00Z</dcterms:modified>
</cp:coreProperties>
</file>